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341EE" w14:textId="77777777" w:rsidR="00BC3300" w:rsidRPr="00B16C5D" w:rsidRDefault="00BC3300" w:rsidP="00B16C5D">
      <w:pPr>
        <w:pStyle w:val="Heading1"/>
        <w:tabs>
          <w:tab w:val="left" w:pos="954"/>
          <w:tab w:val="center" w:pos="4513"/>
        </w:tabs>
        <w:spacing w:before="0" w:line="240" w:lineRule="auto"/>
        <w:jc w:val="center"/>
        <w:rPr>
          <w:sz w:val="22"/>
          <w:szCs w:val="22"/>
        </w:rPr>
      </w:pPr>
    </w:p>
    <w:p w14:paraId="37FE4983" w14:textId="0FFE035A" w:rsidR="00043293" w:rsidRPr="003F4DE0" w:rsidRDefault="00844F52" w:rsidP="00B16C5D">
      <w:pPr>
        <w:pStyle w:val="Heading1"/>
        <w:tabs>
          <w:tab w:val="left" w:pos="954"/>
          <w:tab w:val="center" w:pos="4513"/>
        </w:tabs>
        <w:spacing w:before="0" w:line="240" w:lineRule="auto"/>
        <w:jc w:val="center"/>
      </w:pPr>
      <w:r w:rsidRPr="003F4DE0">
        <w:t>CREDIT TRANSFER AND ARTICULATION POLICY</w:t>
      </w:r>
    </w:p>
    <w:tbl>
      <w:tblPr>
        <w:tblStyle w:val="LightList-Accent1"/>
        <w:tblW w:w="9639" w:type="dxa"/>
        <w:tblLook w:val="01E0" w:firstRow="1" w:lastRow="1" w:firstColumn="1" w:lastColumn="1" w:noHBand="0" w:noVBand="0"/>
      </w:tblPr>
      <w:tblGrid>
        <w:gridCol w:w="2410"/>
        <w:gridCol w:w="7229"/>
      </w:tblGrid>
      <w:tr w:rsidR="00B16C5D" w:rsidRPr="003F4DE0" w14:paraId="108F87CD" w14:textId="77777777" w:rsidTr="00B16C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shd w:val="clear" w:color="auto" w:fill="auto"/>
          </w:tcPr>
          <w:p w14:paraId="1528DA3B" w14:textId="77777777" w:rsidR="00186452" w:rsidRPr="003F4DE0" w:rsidRDefault="00186452" w:rsidP="00B16C5D">
            <w:pPr>
              <w:rPr>
                <w:rFonts w:cs="Arial"/>
                <w:b w:val="0"/>
                <w:color w:val="auto"/>
              </w:rPr>
            </w:pPr>
            <w:r w:rsidRPr="003F4DE0">
              <w:rPr>
                <w:rFonts w:cs="Arial"/>
                <w:color w:val="auto"/>
              </w:rPr>
              <w:t>Approving authority</w:t>
            </w:r>
          </w:p>
        </w:tc>
        <w:tc>
          <w:tcPr>
            <w:cnfStyle w:val="000100000000" w:firstRow="0" w:lastRow="0" w:firstColumn="0" w:lastColumn="1" w:oddVBand="0" w:evenVBand="0" w:oddHBand="0" w:evenHBand="0" w:firstRowFirstColumn="0" w:firstRowLastColumn="0" w:lastRowFirstColumn="0" w:lastRowLastColumn="0"/>
            <w:tcW w:w="7229" w:type="dxa"/>
            <w:shd w:val="clear" w:color="auto" w:fill="auto"/>
          </w:tcPr>
          <w:p w14:paraId="5B48BD35" w14:textId="77777777" w:rsidR="00186452" w:rsidRPr="003F4DE0" w:rsidRDefault="00186452" w:rsidP="00B16C5D">
            <w:pPr>
              <w:ind w:left="159"/>
              <w:rPr>
                <w:rFonts w:cs="Arial"/>
                <w:b w:val="0"/>
                <w:color w:val="auto"/>
              </w:rPr>
            </w:pPr>
            <w:r w:rsidRPr="003F4DE0">
              <w:rPr>
                <w:rFonts w:cs="Arial"/>
                <w:b w:val="0"/>
                <w:color w:val="auto"/>
              </w:rPr>
              <w:t>Academic Board</w:t>
            </w:r>
          </w:p>
        </w:tc>
      </w:tr>
      <w:tr w:rsidR="00E273B6" w:rsidRPr="003F4DE0" w14:paraId="3AF80707" w14:textId="77777777" w:rsidTr="002E6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7B650056" w14:textId="77777777" w:rsidR="00E273B6" w:rsidRPr="003F4DE0" w:rsidRDefault="00E273B6" w:rsidP="00B16C5D">
            <w:pPr>
              <w:rPr>
                <w:rFonts w:cs="Arial"/>
                <w:b w:val="0"/>
              </w:rPr>
            </w:pPr>
            <w:r w:rsidRPr="003F4DE0">
              <w:rPr>
                <w:rFonts w:cs="Arial"/>
              </w:rPr>
              <w:t>Purpose</w:t>
            </w:r>
          </w:p>
        </w:tc>
        <w:tc>
          <w:tcPr>
            <w:cnfStyle w:val="000100000000" w:firstRow="0" w:lastRow="0" w:firstColumn="0" w:lastColumn="1" w:oddVBand="0" w:evenVBand="0" w:oddHBand="0" w:evenHBand="0" w:firstRowFirstColumn="0" w:firstRowLastColumn="0" w:lastRowFirstColumn="0" w:lastRowLastColumn="0"/>
            <w:tcW w:w="7229" w:type="dxa"/>
          </w:tcPr>
          <w:p w14:paraId="6CCACBC4" w14:textId="714790DF" w:rsidR="00E273B6" w:rsidRPr="003F4DE0" w:rsidRDefault="002E63D0" w:rsidP="00B16C5D">
            <w:pPr>
              <w:ind w:left="159"/>
              <w:rPr>
                <w:rFonts w:cs="Arial"/>
                <w:b w:val="0"/>
              </w:rPr>
            </w:pPr>
            <w:r w:rsidRPr="003F4DE0">
              <w:rPr>
                <w:rFonts w:cs="Arial"/>
                <w:b w:val="0"/>
              </w:rPr>
              <w:t xml:space="preserve">To </w:t>
            </w:r>
            <w:r w:rsidR="007D1CF4" w:rsidRPr="003F4DE0">
              <w:rPr>
                <w:rFonts w:cs="Arial"/>
                <w:b w:val="0"/>
              </w:rPr>
              <w:t xml:space="preserve">establish </w:t>
            </w:r>
            <w:r w:rsidR="000B7803" w:rsidRPr="003F4DE0">
              <w:rPr>
                <w:rFonts w:cs="Arial"/>
                <w:b w:val="0"/>
              </w:rPr>
              <w:t>c</w:t>
            </w:r>
            <w:r w:rsidR="00A464FA" w:rsidRPr="003F4DE0">
              <w:rPr>
                <w:rFonts w:cs="Arial"/>
                <w:b w:val="0"/>
              </w:rPr>
              <w:t>rit</w:t>
            </w:r>
            <w:r w:rsidR="000B7803" w:rsidRPr="003F4DE0">
              <w:rPr>
                <w:rFonts w:cs="Arial"/>
                <w:b w:val="0"/>
              </w:rPr>
              <w:t>eria</w:t>
            </w:r>
            <w:r w:rsidR="007D1CF4" w:rsidRPr="003F4DE0">
              <w:rPr>
                <w:rFonts w:cs="Arial"/>
                <w:b w:val="0"/>
              </w:rPr>
              <w:t xml:space="preserve"> for granting credit into </w:t>
            </w:r>
            <w:r w:rsidR="000C544D" w:rsidRPr="003F4DE0">
              <w:rPr>
                <w:rFonts w:cs="Arial"/>
                <w:b w:val="0"/>
              </w:rPr>
              <w:t>the</w:t>
            </w:r>
            <w:r w:rsidR="00CF38BA" w:rsidRPr="003F4DE0">
              <w:rPr>
                <w:rFonts w:cs="Arial"/>
                <w:b w:val="0"/>
              </w:rPr>
              <w:t xml:space="preserve"> </w:t>
            </w:r>
            <w:r w:rsidR="000C544D" w:rsidRPr="003F4DE0">
              <w:rPr>
                <w:rFonts w:cs="Arial"/>
                <w:b w:val="0"/>
              </w:rPr>
              <w:t>Institute</w:t>
            </w:r>
            <w:r w:rsidR="00724008" w:rsidRPr="003F4DE0">
              <w:rPr>
                <w:rFonts w:cs="Arial"/>
                <w:b w:val="0"/>
              </w:rPr>
              <w:t>’</w:t>
            </w:r>
            <w:r w:rsidR="000C544D" w:rsidRPr="003F4DE0">
              <w:rPr>
                <w:rFonts w:cs="Arial"/>
                <w:b w:val="0"/>
              </w:rPr>
              <w:t>s</w:t>
            </w:r>
            <w:r w:rsidR="007D1CF4" w:rsidRPr="003F4DE0">
              <w:rPr>
                <w:rFonts w:cs="Arial"/>
                <w:b w:val="0"/>
              </w:rPr>
              <w:t xml:space="preserve"> higher education </w:t>
            </w:r>
            <w:r w:rsidR="005607E2" w:rsidRPr="003F4DE0">
              <w:rPr>
                <w:rFonts w:cs="Arial"/>
                <w:b w:val="0"/>
              </w:rPr>
              <w:t>courses</w:t>
            </w:r>
            <w:r w:rsidR="007D1CF4" w:rsidRPr="003F4DE0">
              <w:rPr>
                <w:rFonts w:cs="Arial"/>
                <w:b w:val="0"/>
              </w:rPr>
              <w:t xml:space="preserve"> which are cognisant of the Australian Qualifications Framework (AQF), the Tertiary Education Quality Standards Agency</w:t>
            </w:r>
            <w:r w:rsidR="00AF25FB" w:rsidRPr="003F4DE0">
              <w:rPr>
                <w:rFonts w:cs="Arial"/>
                <w:b w:val="0"/>
              </w:rPr>
              <w:t>’s</w:t>
            </w:r>
            <w:r w:rsidR="00E9708D" w:rsidRPr="003F4DE0">
              <w:rPr>
                <w:rFonts w:cs="Arial"/>
                <w:b w:val="0"/>
              </w:rPr>
              <w:t xml:space="preserve"> </w:t>
            </w:r>
            <w:r w:rsidR="007D1CF4" w:rsidRPr="003F4DE0">
              <w:rPr>
                <w:rFonts w:cs="Arial"/>
                <w:b w:val="0"/>
              </w:rPr>
              <w:t xml:space="preserve">(TEQSA) threshold standards, the Education Services for Overseas Students (ESOS) Act 2000 and </w:t>
            </w:r>
            <w:r w:rsidR="007C5FA1" w:rsidRPr="003F4DE0">
              <w:rPr>
                <w:rFonts w:cs="Arial"/>
                <w:b w:val="0"/>
              </w:rPr>
              <w:t>the National Code 2018</w:t>
            </w:r>
            <w:r w:rsidR="007D1CF4" w:rsidRPr="003F4DE0">
              <w:rPr>
                <w:rFonts w:cs="Arial"/>
                <w:b w:val="0"/>
              </w:rPr>
              <w:t>.</w:t>
            </w:r>
          </w:p>
        </w:tc>
      </w:tr>
      <w:tr w:rsidR="00145D0C" w:rsidRPr="003F4DE0" w14:paraId="2DC3BE43" w14:textId="77777777" w:rsidTr="002E63D0">
        <w:tc>
          <w:tcPr>
            <w:cnfStyle w:val="001000000000" w:firstRow="0" w:lastRow="0" w:firstColumn="1" w:lastColumn="0" w:oddVBand="0" w:evenVBand="0" w:oddHBand="0" w:evenHBand="0" w:firstRowFirstColumn="0" w:firstRowLastColumn="0" w:lastRowFirstColumn="0" w:lastRowLastColumn="0"/>
            <w:tcW w:w="2410" w:type="dxa"/>
          </w:tcPr>
          <w:p w14:paraId="583275E0" w14:textId="1D447FD7" w:rsidR="00145D0C" w:rsidRPr="003F4DE0" w:rsidRDefault="00145D0C" w:rsidP="00B16C5D">
            <w:pPr>
              <w:rPr>
                <w:rFonts w:cs="Arial"/>
                <w:b w:val="0"/>
              </w:rPr>
            </w:pPr>
            <w:r w:rsidRPr="003F4DE0">
              <w:rPr>
                <w:rFonts w:cs="Arial"/>
              </w:rPr>
              <w:t>Responsib</w:t>
            </w:r>
            <w:r w:rsidR="00043293" w:rsidRPr="003F4DE0">
              <w:rPr>
                <w:rFonts w:cs="Arial"/>
              </w:rPr>
              <w:t>le Officer</w:t>
            </w:r>
          </w:p>
        </w:tc>
        <w:tc>
          <w:tcPr>
            <w:cnfStyle w:val="000100000000" w:firstRow="0" w:lastRow="0" w:firstColumn="0" w:lastColumn="1" w:oddVBand="0" w:evenVBand="0" w:oddHBand="0" w:evenHBand="0" w:firstRowFirstColumn="0" w:firstRowLastColumn="0" w:lastRowFirstColumn="0" w:lastRowLastColumn="0"/>
            <w:tcW w:w="7229" w:type="dxa"/>
          </w:tcPr>
          <w:p w14:paraId="22E10684" w14:textId="77777777" w:rsidR="00B33D64" w:rsidRPr="003F4DE0" w:rsidRDefault="007C5FA1" w:rsidP="00B16C5D">
            <w:pPr>
              <w:ind w:left="159"/>
              <w:rPr>
                <w:rFonts w:cs="Arial"/>
                <w:b w:val="0"/>
              </w:rPr>
            </w:pPr>
            <w:r w:rsidRPr="003F4DE0">
              <w:rPr>
                <w:rFonts w:cs="Arial"/>
                <w:b w:val="0"/>
              </w:rPr>
              <w:t>Academic Dean</w:t>
            </w:r>
            <w:r w:rsidR="00C43652" w:rsidRPr="003F4DE0">
              <w:rPr>
                <w:rFonts w:cs="Arial"/>
                <w:b w:val="0"/>
              </w:rPr>
              <w:t xml:space="preserve"> </w:t>
            </w:r>
          </w:p>
        </w:tc>
      </w:tr>
      <w:tr w:rsidR="00186452" w:rsidRPr="003F4DE0" w14:paraId="79E6931D" w14:textId="77777777" w:rsidTr="002E63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966CEAE" w14:textId="77777777" w:rsidR="00186452" w:rsidRPr="003F4DE0" w:rsidRDefault="00186452" w:rsidP="00B16C5D">
            <w:pPr>
              <w:rPr>
                <w:rFonts w:cs="Arial"/>
                <w:b w:val="0"/>
              </w:rPr>
            </w:pPr>
            <w:r w:rsidRPr="003F4DE0">
              <w:rPr>
                <w:rFonts w:cs="Arial"/>
              </w:rPr>
              <w:t>Next scheduled review</w:t>
            </w:r>
          </w:p>
        </w:tc>
        <w:tc>
          <w:tcPr>
            <w:cnfStyle w:val="000100000000" w:firstRow="0" w:lastRow="0" w:firstColumn="0" w:lastColumn="1" w:oddVBand="0" w:evenVBand="0" w:oddHBand="0" w:evenHBand="0" w:firstRowFirstColumn="0" w:firstRowLastColumn="0" w:lastRowFirstColumn="0" w:lastRowLastColumn="0"/>
            <w:tcW w:w="7229" w:type="dxa"/>
          </w:tcPr>
          <w:p w14:paraId="0813C7D9" w14:textId="46235EB6" w:rsidR="00186452" w:rsidRPr="003F4DE0" w:rsidRDefault="003F664E" w:rsidP="00B16C5D">
            <w:pPr>
              <w:ind w:left="159"/>
              <w:rPr>
                <w:rFonts w:cs="Arial"/>
                <w:b w:val="0"/>
              </w:rPr>
            </w:pPr>
            <w:r w:rsidRPr="003F4DE0">
              <w:rPr>
                <w:rFonts w:cs="Arial"/>
                <w:b w:val="0"/>
              </w:rPr>
              <w:t>August</w:t>
            </w:r>
            <w:r w:rsidR="0085436E" w:rsidRPr="003F4DE0">
              <w:rPr>
                <w:rFonts w:cs="Arial"/>
                <w:b w:val="0"/>
              </w:rPr>
              <w:t xml:space="preserve"> 20</w:t>
            </w:r>
            <w:r w:rsidR="00C65403" w:rsidRPr="003F4DE0">
              <w:rPr>
                <w:rFonts w:cs="Arial"/>
                <w:b w:val="0"/>
              </w:rPr>
              <w:t>2</w:t>
            </w:r>
            <w:r w:rsidRPr="003F4DE0">
              <w:rPr>
                <w:rFonts w:cs="Arial"/>
                <w:b w:val="0"/>
              </w:rPr>
              <w:t>1</w:t>
            </w:r>
          </w:p>
        </w:tc>
      </w:tr>
      <w:tr w:rsidR="00186452" w:rsidRPr="003F4DE0" w14:paraId="74497ECB" w14:textId="77777777" w:rsidTr="002E63D0">
        <w:tc>
          <w:tcPr>
            <w:cnfStyle w:val="001000000000" w:firstRow="0" w:lastRow="0" w:firstColumn="1" w:lastColumn="0" w:oddVBand="0" w:evenVBand="0" w:oddHBand="0" w:evenHBand="0" w:firstRowFirstColumn="0" w:firstRowLastColumn="0" w:lastRowFirstColumn="0" w:lastRowLastColumn="0"/>
            <w:tcW w:w="2410" w:type="dxa"/>
          </w:tcPr>
          <w:p w14:paraId="1DA6C416" w14:textId="77777777" w:rsidR="00186452" w:rsidRPr="003F4DE0" w:rsidRDefault="00186452" w:rsidP="00B16C5D">
            <w:pPr>
              <w:rPr>
                <w:rFonts w:cs="Arial"/>
                <w:b w:val="0"/>
              </w:rPr>
            </w:pPr>
            <w:r w:rsidRPr="003F4DE0">
              <w:rPr>
                <w:rFonts w:cs="Arial"/>
              </w:rPr>
              <w:t>Document Location</w:t>
            </w:r>
          </w:p>
        </w:tc>
        <w:tc>
          <w:tcPr>
            <w:cnfStyle w:val="000100000000" w:firstRow="0" w:lastRow="0" w:firstColumn="0" w:lastColumn="1" w:oddVBand="0" w:evenVBand="0" w:oddHBand="0" w:evenHBand="0" w:firstRowFirstColumn="0" w:firstRowLastColumn="0" w:lastRowFirstColumn="0" w:lastRowLastColumn="0"/>
            <w:tcW w:w="7229" w:type="dxa"/>
          </w:tcPr>
          <w:p w14:paraId="21BD3FE8" w14:textId="75FC7B56" w:rsidR="00186452" w:rsidRPr="003F4DE0" w:rsidRDefault="00986E1B" w:rsidP="00B16C5D">
            <w:pPr>
              <w:ind w:left="159"/>
              <w:rPr>
                <w:rFonts w:cs="Arial"/>
                <w:b w:val="0"/>
                <w:bCs w:val="0"/>
              </w:rPr>
            </w:pPr>
            <w:r w:rsidRPr="003F4DE0">
              <w:rPr>
                <w:b w:val="0"/>
                <w:bCs w:val="0"/>
              </w:rPr>
              <w:t>http://www.ozford.edu.au/higher-education/policies-and-procedures/</w:t>
            </w:r>
          </w:p>
        </w:tc>
      </w:tr>
      <w:tr w:rsidR="00D47A58" w:rsidRPr="003F4DE0" w14:paraId="613D388D" w14:textId="77777777" w:rsidTr="002E63D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14:paraId="429237F1" w14:textId="77777777" w:rsidR="00186452" w:rsidRPr="003F4DE0" w:rsidRDefault="00145D0C" w:rsidP="00B16C5D">
            <w:pPr>
              <w:rPr>
                <w:rFonts w:cs="Arial"/>
                <w:b w:val="0"/>
              </w:rPr>
            </w:pPr>
            <w:r w:rsidRPr="003F4DE0">
              <w:rPr>
                <w:rFonts w:cs="Arial"/>
              </w:rPr>
              <w:t>Associated documents</w:t>
            </w:r>
          </w:p>
        </w:tc>
        <w:tc>
          <w:tcPr>
            <w:cnfStyle w:val="000100000000" w:firstRow="0" w:lastRow="0" w:firstColumn="0" w:lastColumn="1" w:oddVBand="0" w:evenVBand="0" w:oddHBand="0" w:evenHBand="0" w:firstRowFirstColumn="0" w:firstRowLastColumn="0" w:lastRowFirstColumn="0" w:lastRowLastColumn="0"/>
            <w:tcW w:w="7229" w:type="dxa"/>
          </w:tcPr>
          <w:p w14:paraId="7E78FEAD" w14:textId="77777777" w:rsidR="00911495" w:rsidRPr="003F4DE0" w:rsidRDefault="009555E1" w:rsidP="00B16C5D">
            <w:pPr>
              <w:ind w:left="159"/>
              <w:rPr>
                <w:rFonts w:cs="Arial"/>
                <w:b w:val="0"/>
              </w:rPr>
            </w:pPr>
            <w:hyperlink r:id="rId9" w:history="1">
              <w:r w:rsidR="00911495" w:rsidRPr="003F4DE0">
                <w:rPr>
                  <w:rStyle w:val="Hyperlink"/>
                  <w:rFonts w:cs="Arial"/>
                  <w:b w:val="0"/>
                  <w:bCs w:val="0"/>
                  <w:color w:val="auto"/>
                  <w:u w:val="none"/>
                </w:rPr>
                <w:t>Course Unit Coding Policy</w:t>
              </w:r>
            </w:hyperlink>
          </w:p>
          <w:p w14:paraId="02CF22CB" w14:textId="77777777" w:rsidR="00911495" w:rsidRPr="003F4DE0" w:rsidRDefault="009555E1" w:rsidP="00B16C5D">
            <w:pPr>
              <w:ind w:left="159"/>
              <w:rPr>
                <w:rStyle w:val="Hyperlink"/>
                <w:rFonts w:cs="Arial"/>
                <w:b w:val="0"/>
                <w:bCs w:val="0"/>
                <w:color w:val="auto"/>
                <w:u w:val="none"/>
              </w:rPr>
            </w:pPr>
            <w:hyperlink r:id="rId10" w:history="1">
              <w:r w:rsidR="00911495" w:rsidRPr="003F4DE0">
                <w:rPr>
                  <w:rStyle w:val="Hyperlink"/>
                  <w:rFonts w:cs="Arial"/>
                  <w:b w:val="0"/>
                  <w:bCs w:val="0"/>
                  <w:color w:val="auto"/>
                  <w:u w:val="none"/>
                </w:rPr>
                <w:t>Unit Credit Points Policy</w:t>
              </w:r>
            </w:hyperlink>
          </w:p>
          <w:p w14:paraId="1C689173" w14:textId="77777777" w:rsidR="00E45FBA" w:rsidRPr="003F4DE0" w:rsidRDefault="00E45FBA" w:rsidP="00B16C5D">
            <w:pPr>
              <w:ind w:left="159"/>
              <w:rPr>
                <w:rStyle w:val="Hyperlink"/>
                <w:rFonts w:cs="Arial"/>
                <w:b w:val="0"/>
                <w:color w:val="auto"/>
                <w:u w:val="none"/>
              </w:rPr>
            </w:pPr>
            <w:r w:rsidRPr="003F4DE0">
              <w:rPr>
                <w:rStyle w:val="Hyperlink"/>
                <w:rFonts w:cs="Arial"/>
                <w:b w:val="0"/>
                <w:color w:val="auto"/>
                <w:u w:val="none"/>
              </w:rPr>
              <w:t>Student Services &amp; Support Policy</w:t>
            </w:r>
            <w:r w:rsidR="00986E1B" w:rsidRPr="003F4DE0">
              <w:rPr>
                <w:rStyle w:val="Hyperlink"/>
                <w:rFonts w:cs="Arial"/>
                <w:b w:val="0"/>
                <w:color w:val="auto"/>
                <w:u w:val="none"/>
              </w:rPr>
              <w:t xml:space="preserve"> and Procedure</w:t>
            </w:r>
          </w:p>
          <w:p w14:paraId="5F76879B" w14:textId="4B3E531F" w:rsidR="00621FA8" w:rsidRPr="003F4DE0" w:rsidRDefault="00396CAE" w:rsidP="00B16C5D">
            <w:pPr>
              <w:ind w:left="159"/>
              <w:rPr>
                <w:rFonts w:cs="Arial"/>
                <w:b w:val="0"/>
              </w:rPr>
            </w:pPr>
            <w:r w:rsidRPr="007856FD">
              <w:rPr>
                <w:rStyle w:val="Hyperlink"/>
                <w:b w:val="0"/>
                <w:color w:val="auto"/>
                <w:u w:val="none"/>
              </w:rPr>
              <w:t>Credit Transfer and Articulation Procedure</w:t>
            </w:r>
          </w:p>
        </w:tc>
      </w:tr>
    </w:tbl>
    <w:p w14:paraId="25DD0D79" w14:textId="77777777" w:rsidR="00B16C5D" w:rsidRPr="003F4DE0" w:rsidRDefault="00B16C5D" w:rsidP="00B16C5D">
      <w:pPr>
        <w:pStyle w:val="Heading2"/>
        <w:spacing w:before="0" w:line="240" w:lineRule="auto"/>
        <w:ind w:left="284"/>
        <w:rPr>
          <w:sz w:val="22"/>
          <w:szCs w:val="22"/>
        </w:rPr>
      </w:pPr>
      <w:bookmarkStart w:id="0" w:name="courseresponsibility"/>
      <w:bookmarkStart w:id="1" w:name="coursecatalogue"/>
      <w:bookmarkStart w:id="2" w:name="Ch1"/>
      <w:bookmarkEnd w:id="0"/>
      <w:bookmarkEnd w:id="1"/>
      <w:bookmarkEnd w:id="2"/>
    </w:p>
    <w:p w14:paraId="69F292BF" w14:textId="330DDC08" w:rsidR="005607E2" w:rsidRPr="003F4DE0" w:rsidRDefault="005607E2" w:rsidP="00B16C5D">
      <w:pPr>
        <w:pStyle w:val="Heading2"/>
        <w:numPr>
          <w:ilvl w:val="0"/>
          <w:numId w:val="11"/>
        </w:numPr>
        <w:spacing w:before="0" w:line="240" w:lineRule="auto"/>
        <w:ind w:left="284" w:hanging="284"/>
        <w:rPr>
          <w:sz w:val="22"/>
          <w:szCs w:val="22"/>
        </w:rPr>
      </w:pPr>
      <w:r w:rsidRPr="003F4DE0">
        <w:rPr>
          <w:sz w:val="22"/>
          <w:szCs w:val="22"/>
        </w:rPr>
        <w:t>P</w:t>
      </w:r>
      <w:r w:rsidR="00043293" w:rsidRPr="003F4DE0">
        <w:rPr>
          <w:sz w:val="22"/>
          <w:szCs w:val="22"/>
        </w:rPr>
        <w:t>RINCIPLES</w:t>
      </w:r>
    </w:p>
    <w:p w14:paraId="61833442" w14:textId="30D7860B" w:rsidR="003A5B60" w:rsidRPr="003F4DE0" w:rsidRDefault="003A5B60" w:rsidP="00B16C5D">
      <w:pPr>
        <w:pStyle w:val="Default"/>
        <w:jc w:val="both"/>
        <w:rPr>
          <w:rFonts w:ascii="Garamond" w:hAnsi="Garamond"/>
          <w:sz w:val="22"/>
          <w:szCs w:val="22"/>
        </w:rPr>
      </w:pPr>
      <w:r w:rsidRPr="003F4DE0">
        <w:rPr>
          <w:rFonts w:ascii="Garamond" w:hAnsi="Garamond"/>
          <w:sz w:val="22"/>
          <w:szCs w:val="22"/>
        </w:rPr>
        <w:t>A</w:t>
      </w:r>
      <w:r w:rsidR="000F12BE" w:rsidRPr="003F4DE0">
        <w:rPr>
          <w:rFonts w:ascii="Garamond" w:hAnsi="Garamond"/>
          <w:sz w:val="22"/>
          <w:szCs w:val="22"/>
        </w:rPr>
        <w:t xml:space="preserve">warding credit </w:t>
      </w:r>
      <w:r w:rsidR="0048613F" w:rsidRPr="003F4DE0">
        <w:rPr>
          <w:rFonts w:ascii="Garamond" w:hAnsi="Garamond"/>
          <w:sz w:val="22"/>
          <w:szCs w:val="22"/>
        </w:rPr>
        <w:t xml:space="preserve">towards an Ozford Institute of Higher Education (hereafter referred to as “the Institute”) course </w:t>
      </w:r>
      <w:r w:rsidRPr="003F4DE0">
        <w:rPr>
          <w:rFonts w:ascii="Garamond" w:hAnsi="Garamond"/>
          <w:sz w:val="22"/>
          <w:szCs w:val="22"/>
        </w:rPr>
        <w:t xml:space="preserve">for </w:t>
      </w:r>
      <w:r w:rsidR="000E391E" w:rsidRPr="003F4DE0">
        <w:rPr>
          <w:rFonts w:ascii="Garamond" w:hAnsi="Garamond"/>
          <w:sz w:val="22"/>
          <w:szCs w:val="22"/>
        </w:rPr>
        <w:t>unit</w:t>
      </w:r>
      <w:r w:rsidR="003F4DE0" w:rsidRPr="003F4DE0">
        <w:rPr>
          <w:rFonts w:ascii="Garamond" w:hAnsi="Garamond"/>
          <w:sz w:val="22"/>
          <w:szCs w:val="22"/>
        </w:rPr>
        <w:t>s previously</w:t>
      </w:r>
      <w:r w:rsidR="0048613F" w:rsidRPr="003F4DE0">
        <w:rPr>
          <w:rFonts w:ascii="Garamond" w:hAnsi="Garamond"/>
          <w:sz w:val="22"/>
          <w:szCs w:val="22"/>
        </w:rPr>
        <w:t xml:space="preserve"> completed   </w:t>
      </w:r>
      <w:r w:rsidR="000F12BE" w:rsidRPr="003F4DE0">
        <w:rPr>
          <w:rFonts w:ascii="Garamond" w:hAnsi="Garamond"/>
          <w:sz w:val="22"/>
          <w:szCs w:val="22"/>
        </w:rPr>
        <w:t>wi</w:t>
      </w:r>
      <w:r w:rsidR="00AC2B1C" w:rsidRPr="003F4DE0">
        <w:rPr>
          <w:rFonts w:ascii="Garamond" w:hAnsi="Garamond"/>
          <w:sz w:val="22"/>
          <w:szCs w:val="22"/>
        </w:rPr>
        <w:t xml:space="preserve">ll </w:t>
      </w:r>
      <w:r w:rsidRPr="003F4DE0">
        <w:rPr>
          <w:rFonts w:ascii="Garamond" w:hAnsi="Garamond"/>
          <w:sz w:val="22"/>
          <w:szCs w:val="22"/>
        </w:rPr>
        <w:t xml:space="preserve">optimise </w:t>
      </w:r>
      <w:r w:rsidR="00AC2B1C" w:rsidRPr="003F4DE0">
        <w:rPr>
          <w:rFonts w:ascii="Garamond" w:hAnsi="Garamond"/>
          <w:sz w:val="22"/>
          <w:szCs w:val="22"/>
        </w:rPr>
        <w:t>student progression</w:t>
      </w:r>
      <w:r w:rsidR="006E655F" w:rsidRPr="003F4DE0">
        <w:rPr>
          <w:rFonts w:ascii="Garamond" w:hAnsi="Garamond"/>
          <w:sz w:val="22"/>
          <w:szCs w:val="22"/>
        </w:rPr>
        <w:t>.</w:t>
      </w:r>
      <w:r w:rsidR="00AC2B1C" w:rsidRPr="003F4DE0">
        <w:rPr>
          <w:rFonts w:ascii="Garamond" w:hAnsi="Garamond"/>
          <w:sz w:val="22"/>
          <w:szCs w:val="22"/>
        </w:rPr>
        <w:t xml:space="preserve"> </w:t>
      </w:r>
    </w:p>
    <w:p w14:paraId="2C5AA61D" w14:textId="77777777" w:rsidR="00B16C5D" w:rsidRPr="003F4DE0" w:rsidRDefault="00B16C5D" w:rsidP="00B16C5D">
      <w:pPr>
        <w:pStyle w:val="Default"/>
        <w:jc w:val="both"/>
        <w:rPr>
          <w:rFonts w:ascii="Garamond" w:hAnsi="Garamond"/>
          <w:sz w:val="22"/>
          <w:szCs w:val="22"/>
        </w:rPr>
      </w:pPr>
    </w:p>
    <w:p w14:paraId="5D5D2B04" w14:textId="23AD8591" w:rsidR="00043293" w:rsidRPr="003F4DE0" w:rsidRDefault="00043293" w:rsidP="00B16C5D">
      <w:pPr>
        <w:pStyle w:val="Heading2"/>
        <w:numPr>
          <w:ilvl w:val="0"/>
          <w:numId w:val="11"/>
        </w:numPr>
        <w:spacing w:before="0" w:line="240" w:lineRule="auto"/>
        <w:ind w:left="284" w:hanging="284"/>
        <w:rPr>
          <w:sz w:val="22"/>
          <w:szCs w:val="22"/>
        </w:rPr>
      </w:pPr>
      <w:r w:rsidRPr="003F4DE0">
        <w:rPr>
          <w:sz w:val="22"/>
          <w:szCs w:val="22"/>
        </w:rPr>
        <w:t>SCOPE</w:t>
      </w:r>
    </w:p>
    <w:p w14:paraId="5C30848C" w14:textId="5A2D9F50" w:rsidR="003A5B60" w:rsidRPr="003F4DE0" w:rsidRDefault="003A5B60" w:rsidP="00B16C5D">
      <w:pPr>
        <w:spacing w:after="0" w:line="240" w:lineRule="auto"/>
        <w:ind w:left="284" w:hanging="284"/>
      </w:pPr>
      <w:r w:rsidRPr="003F4DE0">
        <w:t>This policy applies to all courses provided by the Institute.</w:t>
      </w:r>
    </w:p>
    <w:p w14:paraId="2CA36121" w14:textId="77777777" w:rsidR="00B16C5D" w:rsidRPr="003F4DE0" w:rsidRDefault="00B16C5D" w:rsidP="00B16C5D">
      <w:pPr>
        <w:spacing w:after="0" w:line="240" w:lineRule="auto"/>
        <w:ind w:left="284" w:hanging="284"/>
      </w:pPr>
    </w:p>
    <w:p w14:paraId="5CCA182E" w14:textId="5394E365" w:rsidR="00B35FB8" w:rsidRPr="003F4DE0" w:rsidRDefault="007D1CF4" w:rsidP="00B16C5D">
      <w:pPr>
        <w:pStyle w:val="Heading2"/>
        <w:numPr>
          <w:ilvl w:val="0"/>
          <w:numId w:val="11"/>
        </w:numPr>
        <w:spacing w:before="0" w:line="240" w:lineRule="auto"/>
        <w:ind w:left="284" w:hanging="284"/>
        <w:rPr>
          <w:sz w:val="22"/>
          <w:szCs w:val="22"/>
        </w:rPr>
      </w:pPr>
      <w:r w:rsidRPr="003F4DE0">
        <w:rPr>
          <w:sz w:val="22"/>
          <w:szCs w:val="22"/>
        </w:rPr>
        <w:t>D</w:t>
      </w:r>
      <w:r w:rsidR="00043293" w:rsidRPr="003F4DE0">
        <w:rPr>
          <w:sz w:val="22"/>
          <w:szCs w:val="22"/>
        </w:rPr>
        <w:t>EFINITIONS</w:t>
      </w:r>
    </w:p>
    <w:p w14:paraId="500E7354" w14:textId="5DDEC43E" w:rsidR="007D1CF4" w:rsidRPr="003F4DE0" w:rsidRDefault="00043293" w:rsidP="00B16C5D">
      <w:pPr>
        <w:pStyle w:val="Heading3"/>
        <w:spacing w:before="0" w:line="240" w:lineRule="auto"/>
        <w:rPr>
          <w:sz w:val="22"/>
        </w:rPr>
      </w:pPr>
      <w:r w:rsidRPr="003F4DE0">
        <w:rPr>
          <w:sz w:val="22"/>
        </w:rPr>
        <w:t xml:space="preserve">3.1 </w:t>
      </w:r>
      <w:r w:rsidR="00A464FA" w:rsidRPr="003F4DE0">
        <w:rPr>
          <w:sz w:val="22"/>
        </w:rPr>
        <w:t xml:space="preserve">Credit </w:t>
      </w:r>
    </w:p>
    <w:p w14:paraId="1E352786" w14:textId="78D6002D" w:rsidR="00860C11" w:rsidRPr="003F4DE0" w:rsidRDefault="00860C11" w:rsidP="00B16C5D">
      <w:pPr>
        <w:pStyle w:val="Heading3"/>
        <w:spacing w:before="0" w:line="240" w:lineRule="auto"/>
        <w:rPr>
          <w:i w:val="0"/>
          <w:iCs/>
          <w:sz w:val="22"/>
          <w:szCs w:val="20"/>
        </w:rPr>
      </w:pPr>
      <w:r w:rsidRPr="003F4DE0">
        <w:rPr>
          <w:i w:val="0"/>
          <w:iCs/>
          <w:sz w:val="22"/>
          <w:szCs w:val="20"/>
        </w:rPr>
        <w:t>Credit is the recognition of the equivalence of the content and learning outcomes of previous studies. Credit is granted by applying the criteria specified in the relevant</w:t>
      </w:r>
      <w:r w:rsidR="009D02B6" w:rsidRPr="003F4DE0">
        <w:rPr>
          <w:i w:val="0"/>
          <w:iCs/>
          <w:sz w:val="22"/>
          <w:szCs w:val="20"/>
        </w:rPr>
        <w:t xml:space="preserve"> p</w:t>
      </w:r>
      <w:r w:rsidRPr="003F4DE0">
        <w:rPr>
          <w:i w:val="0"/>
          <w:iCs/>
          <w:sz w:val="22"/>
          <w:szCs w:val="20"/>
        </w:rPr>
        <w:t xml:space="preserve">olicy. Credit can also be awarded where a pre-determined equivalence is established across different qualification and agreement has been reached between the Institute and another provider on the amount of credit to be granted. </w:t>
      </w:r>
    </w:p>
    <w:p w14:paraId="00F1A5F3" w14:textId="783A0762" w:rsidR="00677928" w:rsidRPr="003F4DE0" w:rsidRDefault="00796BD6" w:rsidP="00B16C5D">
      <w:pPr>
        <w:pStyle w:val="Heading3"/>
        <w:spacing w:before="0" w:line="240" w:lineRule="auto"/>
        <w:rPr>
          <w:sz w:val="22"/>
        </w:rPr>
      </w:pPr>
      <w:r w:rsidRPr="003F4DE0">
        <w:rPr>
          <w:sz w:val="22"/>
        </w:rPr>
        <w:t xml:space="preserve">3.2 </w:t>
      </w:r>
      <w:r w:rsidR="00677928" w:rsidRPr="003F4DE0">
        <w:rPr>
          <w:sz w:val="22"/>
        </w:rPr>
        <w:t>Credit Transfer</w:t>
      </w:r>
    </w:p>
    <w:p w14:paraId="51780490" w14:textId="45DD0AE5" w:rsidR="00B82313" w:rsidRPr="003F4DE0" w:rsidRDefault="00677928" w:rsidP="00B16C5D">
      <w:pPr>
        <w:spacing w:after="0" w:line="240" w:lineRule="auto"/>
        <w:jc w:val="both"/>
      </w:pPr>
      <w:r w:rsidRPr="003F4DE0">
        <w:t xml:space="preserve">Credit transfer is the process </w:t>
      </w:r>
      <w:r w:rsidR="009F48D7" w:rsidRPr="003F4DE0">
        <w:t xml:space="preserve">by which equivalency of the learning outcomes of prior study </w:t>
      </w:r>
      <w:r w:rsidR="001B2C1E" w:rsidRPr="003F4DE0">
        <w:t xml:space="preserve">is </w:t>
      </w:r>
      <w:r w:rsidR="00FF00D2" w:rsidRPr="003F4DE0">
        <w:t xml:space="preserve">established and </w:t>
      </w:r>
      <w:r w:rsidR="00796BD6" w:rsidRPr="003F4DE0">
        <w:t>a credit value</w:t>
      </w:r>
      <w:r w:rsidR="00FF00D2" w:rsidRPr="003F4DE0">
        <w:t xml:space="preserve"> is </w:t>
      </w:r>
      <w:r w:rsidR="009F48D7" w:rsidRPr="003F4DE0">
        <w:t xml:space="preserve">transferred into </w:t>
      </w:r>
      <w:r w:rsidR="00CF38BA" w:rsidRPr="003F4DE0">
        <w:t>an Institute</w:t>
      </w:r>
      <w:r w:rsidR="009F48D7" w:rsidRPr="003F4DE0">
        <w:t xml:space="preserve"> qualification where credit is sought.</w:t>
      </w:r>
    </w:p>
    <w:p w14:paraId="0453E561" w14:textId="608F02D4" w:rsidR="007D1CF4" w:rsidRPr="003F4DE0" w:rsidRDefault="007D1CF4" w:rsidP="00B16C5D">
      <w:pPr>
        <w:pStyle w:val="ListParagraph"/>
        <w:numPr>
          <w:ilvl w:val="1"/>
          <w:numId w:val="49"/>
        </w:numPr>
        <w:spacing w:after="0" w:line="240" w:lineRule="auto"/>
        <w:jc w:val="both"/>
        <w:rPr>
          <w:i/>
        </w:rPr>
      </w:pPr>
      <w:r w:rsidRPr="003F4DE0">
        <w:rPr>
          <w:i/>
        </w:rPr>
        <w:t>Articulation</w:t>
      </w:r>
    </w:p>
    <w:p w14:paraId="1194F323" w14:textId="77777777" w:rsidR="003F664E" w:rsidRPr="003F4DE0" w:rsidRDefault="00A464FA" w:rsidP="00B16C5D">
      <w:pPr>
        <w:spacing w:after="0" w:line="240" w:lineRule="auto"/>
        <w:jc w:val="both"/>
      </w:pPr>
      <w:r w:rsidRPr="003F4DE0">
        <w:t xml:space="preserve">Articulation is the process of enabling students to progress from one qualification into an </w:t>
      </w:r>
      <w:r w:rsidR="00CF38BA" w:rsidRPr="003F4DE0">
        <w:t>Institute</w:t>
      </w:r>
      <w:r w:rsidRPr="003F4DE0">
        <w:t xml:space="preserve"> qualification with or without credit being granted.</w:t>
      </w:r>
    </w:p>
    <w:p w14:paraId="2F4C7E02" w14:textId="2E998A8F" w:rsidR="009F7720" w:rsidRPr="003F4DE0" w:rsidRDefault="003F664E" w:rsidP="00B16C5D">
      <w:pPr>
        <w:spacing w:after="0" w:line="240" w:lineRule="auto"/>
        <w:jc w:val="both"/>
        <w:rPr>
          <w:i/>
          <w:iCs/>
        </w:rPr>
      </w:pPr>
      <w:r w:rsidRPr="003F4DE0">
        <w:rPr>
          <w:i/>
          <w:iCs/>
        </w:rPr>
        <w:t xml:space="preserve">3.4 </w:t>
      </w:r>
      <w:r w:rsidR="009F7720" w:rsidRPr="003F4DE0">
        <w:rPr>
          <w:i/>
          <w:iCs/>
        </w:rPr>
        <w:t>Recognition of prior learning</w:t>
      </w:r>
    </w:p>
    <w:p w14:paraId="7277E8B5" w14:textId="1DAEA28A" w:rsidR="003A5B60" w:rsidRPr="003F4DE0" w:rsidRDefault="009F7720" w:rsidP="00B16C5D">
      <w:pPr>
        <w:spacing w:after="0" w:line="240" w:lineRule="auto"/>
        <w:jc w:val="both"/>
      </w:pPr>
      <w:r w:rsidRPr="003F4DE0">
        <w:t>Recognition of prior learning is a process of assessing an individual’s relevant prior learning (including formal, informal and non-formal learning)</w:t>
      </w:r>
      <w:r w:rsidR="005147C6" w:rsidRPr="003F4DE0">
        <w:t xml:space="preserve"> to establish the amount of credit to be transferred into a relevant qualification.</w:t>
      </w:r>
      <w:bookmarkStart w:id="3" w:name="academicowner"/>
      <w:bookmarkStart w:id="4" w:name="courselevel"/>
      <w:bookmarkEnd w:id="3"/>
      <w:bookmarkEnd w:id="4"/>
    </w:p>
    <w:p w14:paraId="6D18557B" w14:textId="7D276C26" w:rsidR="003A5B60" w:rsidRPr="003F4DE0" w:rsidRDefault="003A5B60" w:rsidP="00B16C5D">
      <w:pPr>
        <w:pStyle w:val="Heading3"/>
        <w:spacing w:before="0" w:line="240" w:lineRule="auto"/>
        <w:jc w:val="both"/>
        <w:rPr>
          <w:sz w:val="22"/>
        </w:rPr>
      </w:pPr>
      <w:r w:rsidRPr="003F4DE0">
        <w:rPr>
          <w:sz w:val="22"/>
        </w:rPr>
        <w:t>3.5 Types of credit</w:t>
      </w:r>
    </w:p>
    <w:p w14:paraId="59944420" w14:textId="77777777" w:rsidR="003A5B60" w:rsidRPr="003F4DE0" w:rsidRDefault="003A5B60" w:rsidP="00B16C5D">
      <w:pPr>
        <w:spacing w:after="0" w:line="240" w:lineRule="auto"/>
        <w:jc w:val="both"/>
      </w:pPr>
      <w:r w:rsidRPr="003F4DE0">
        <w:t>Credit may be of the following types:</w:t>
      </w:r>
    </w:p>
    <w:p w14:paraId="2806545F" w14:textId="3D3B0991" w:rsidR="003A5B60" w:rsidRPr="003F4DE0" w:rsidRDefault="003A5B60" w:rsidP="00B16C5D">
      <w:pPr>
        <w:pStyle w:val="Heading4"/>
        <w:tabs>
          <w:tab w:val="left" w:pos="1080"/>
        </w:tabs>
        <w:spacing w:before="0" w:line="240" w:lineRule="auto"/>
        <w:ind w:firstLine="360"/>
        <w:jc w:val="both"/>
        <w:rPr>
          <w:b w:val="0"/>
        </w:rPr>
      </w:pPr>
      <w:r w:rsidRPr="003F4DE0">
        <w:rPr>
          <w:b w:val="0"/>
        </w:rPr>
        <w:t>3.5.</w:t>
      </w:r>
      <w:r w:rsidR="003F4DE0" w:rsidRPr="003F4DE0">
        <w:rPr>
          <w:b w:val="0"/>
        </w:rPr>
        <w:t xml:space="preserve">1 </w:t>
      </w:r>
      <w:proofErr w:type="gramStart"/>
      <w:r w:rsidR="003F664E" w:rsidRPr="003F4DE0">
        <w:rPr>
          <w:b w:val="0"/>
        </w:rPr>
        <w:t>s</w:t>
      </w:r>
      <w:r w:rsidRPr="003F4DE0">
        <w:rPr>
          <w:b w:val="0"/>
        </w:rPr>
        <w:t>pecified</w:t>
      </w:r>
      <w:proofErr w:type="gramEnd"/>
      <w:r w:rsidRPr="003F4DE0">
        <w:rPr>
          <w:b w:val="0"/>
        </w:rPr>
        <w:t xml:space="preserve"> credit</w:t>
      </w:r>
    </w:p>
    <w:p w14:paraId="15DF84B3" w14:textId="0CEB7BF2" w:rsidR="003A5B60" w:rsidRPr="003F4DE0" w:rsidRDefault="003A5B60" w:rsidP="00B16C5D">
      <w:pPr>
        <w:spacing w:after="0" w:line="240" w:lineRule="auto"/>
        <w:jc w:val="both"/>
      </w:pPr>
      <w:r w:rsidRPr="003F4DE0">
        <w:t xml:space="preserve">Specified credit is granted towards specific core and/or elective </w:t>
      </w:r>
      <w:r w:rsidR="00396CAE" w:rsidRPr="003F4DE0">
        <w:t xml:space="preserve">units </w:t>
      </w:r>
      <w:r w:rsidR="003F4DE0" w:rsidRPr="003F4DE0">
        <w:t>of</w:t>
      </w:r>
      <w:r w:rsidR="00396CAE" w:rsidRPr="003F4DE0">
        <w:t xml:space="preserve"> a </w:t>
      </w:r>
      <w:r w:rsidRPr="003F4DE0">
        <w:t xml:space="preserve">course where there is evidence that the </w:t>
      </w:r>
      <w:r w:rsidR="000E391E" w:rsidRPr="003F4DE0">
        <w:t>unit</w:t>
      </w:r>
      <w:r w:rsidRPr="003F4DE0">
        <w:t>s previously studied are equivalent in learni</w:t>
      </w:r>
      <w:r w:rsidR="003F664E" w:rsidRPr="003F4DE0">
        <w:t>ng outcomes and content covered;</w:t>
      </w:r>
      <w:r w:rsidRPr="003F4DE0">
        <w:t xml:space="preserve"> </w:t>
      </w:r>
    </w:p>
    <w:p w14:paraId="3AF285BE" w14:textId="58EC1AC2" w:rsidR="003A5B60" w:rsidRPr="003F4DE0" w:rsidRDefault="003A5B60" w:rsidP="00B16C5D">
      <w:pPr>
        <w:pStyle w:val="Heading4"/>
        <w:tabs>
          <w:tab w:val="left" w:pos="1080"/>
        </w:tabs>
        <w:spacing w:before="0" w:line="240" w:lineRule="auto"/>
        <w:ind w:firstLine="360"/>
        <w:jc w:val="both"/>
        <w:rPr>
          <w:b w:val="0"/>
        </w:rPr>
      </w:pPr>
      <w:r w:rsidRPr="003F4DE0">
        <w:rPr>
          <w:b w:val="0"/>
        </w:rPr>
        <w:t>3.5.</w:t>
      </w:r>
      <w:r w:rsidR="003F4DE0" w:rsidRPr="003F4DE0">
        <w:rPr>
          <w:b w:val="0"/>
        </w:rPr>
        <w:t xml:space="preserve">2 </w:t>
      </w:r>
      <w:proofErr w:type="gramStart"/>
      <w:r w:rsidR="003F664E" w:rsidRPr="003F4DE0">
        <w:rPr>
          <w:b w:val="0"/>
        </w:rPr>
        <w:t>u</w:t>
      </w:r>
      <w:r w:rsidRPr="003F4DE0">
        <w:rPr>
          <w:b w:val="0"/>
        </w:rPr>
        <w:t>nspecified</w:t>
      </w:r>
      <w:proofErr w:type="gramEnd"/>
      <w:r w:rsidRPr="003F4DE0">
        <w:rPr>
          <w:b w:val="0"/>
        </w:rPr>
        <w:t xml:space="preserve"> credit</w:t>
      </w:r>
    </w:p>
    <w:p w14:paraId="0501A524" w14:textId="733BD253" w:rsidR="003A5B60" w:rsidRPr="003F4DE0" w:rsidRDefault="003A5B60" w:rsidP="00B16C5D">
      <w:pPr>
        <w:spacing w:after="0" w:line="240" w:lineRule="auto"/>
        <w:jc w:val="both"/>
      </w:pPr>
      <w:r w:rsidRPr="003F4DE0">
        <w:t xml:space="preserve">Unspecified credit may be granted against elective </w:t>
      </w:r>
      <w:r w:rsidR="00396CAE" w:rsidRPr="003F4DE0">
        <w:t xml:space="preserve">units </w:t>
      </w:r>
      <w:r w:rsidR="003F4DE0" w:rsidRPr="003F4DE0">
        <w:t>of</w:t>
      </w:r>
      <w:r w:rsidR="00396CAE" w:rsidRPr="003F4DE0">
        <w:t xml:space="preserve"> a </w:t>
      </w:r>
      <w:r w:rsidRPr="003F4DE0">
        <w:t xml:space="preserve">course where equivalency or near equivalency cannot be established, but where the learning outcomes are assessed as relevant </w:t>
      </w:r>
      <w:r w:rsidR="003F664E" w:rsidRPr="003F4DE0">
        <w:t>to the Institute course overall;</w:t>
      </w:r>
    </w:p>
    <w:p w14:paraId="2B2904C3" w14:textId="0519B24E" w:rsidR="003A5B60" w:rsidRPr="003F4DE0" w:rsidRDefault="003A5B60" w:rsidP="00B16C5D">
      <w:pPr>
        <w:pStyle w:val="Heading4"/>
        <w:tabs>
          <w:tab w:val="left" w:pos="1260"/>
        </w:tabs>
        <w:spacing w:before="0" w:line="240" w:lineRule="auto"/>
        <w:ind w:firstLine="446"/>
        <w:jc w:val="both"/>
        <w:rPr>
          <w:b w:val="0"/>
        </w:rPr>
      </w:pPr>
      <w:r w:rsidRPr="003F4DE0">
        <w:rPr>
          <w:b w:val="0"/>
        </w:rPr>
        <w:t>3.5.</w:t>
      </w:r>
      <w:r w:rsidR="003F4DE0" w:rsidRPr="003F4DE0">
        <w:rPr>
          <w:b w:val="0"/>
        </w:rPr>
        <w:t xml:space="preserve">3 </w:t>
      </w:r>
      <w:proofErr w:type="gramStart"/>
      <w:r w:rsidR="003F664E" w:rsidRPr="003F4DE0">
        <w:rPr>
          <w:b w:val="0"/>
        </w:rPr>
        <w:t>b</w:t>
      </w:r>
      <w:r w:rsidRPr="003F4DE0">
        <w:rPr>
          <w:b w:val="0"/>
        </w:rPr>
        <w:t>lock</w:t>
      </w:r>
      <w:proofErr w:type="gramEnd"/>
      <w:r w:rsidRPr="003F4DE0">
        <w:rPr>
          <w:b w:val="0"/>
        </w:rPr>
        <w:t xml:space="preserve"> credit</w:t>
      </w:r>
    </w:p>
    <w:p w14:paraId="5145BB23" w14:textId="188FD537" w:rsidR="003A5B60" w:rsidRPr="003F4DE0" w:rsidRDefault="003A5B60" w:rsidP="00B16C5D">
      <w:pPr>
        <w:pStyle w:val="Heading3"/>
        <w:spacing w:before="0" w:line="240" w:lineRule="auto"/>
        <w:jc w:val="both"/>
        <w:rPr>
          <w:i w:val="0"/>
          <w:iCs/>
          <w:sz w:val="22"/>
        </w:rPr>
      </w:pPr>
      <w:r w:rsidRPr="003F4DE0">
        <w:rPr>
          <w:i w:val="0"/>
          <w:iCs/>
          <w:sz w:val="22"/>
        </w:rPr>
        <w:t>Block credit (also referred to as Advanced Standing) may be granted to whole segments of a course such as for the fi</w:t>
      </w:r>
      <w:r w:rsidR="003F4DE0" w:rsidRPr="003F4DE0">
        <w:rPr>
          <w:i w:val="0"/>
          <w:iCs/>
          <w:sz w:val="22"/>
        </w:rPr>
        <w:t>rst trimester, or first year of</w:t>
      </w:r>
      <w:r w:rsidR="00396CAE" w:rsidRPr="003F4DE0">
        <w:rPr>
          <w:i w:val="0"/>
          <w:iCs/>
          <w:sz w:val="22"/>
        </w:rPr>
        <w:t xml:space="preserve"> a </w:t>
      </w:r>
      <w:r w:rsidRPr="003F4DE0">
        <w:rPr>
          <w:i w:val="0"/>
          <w:iCs/>
          <w:sz w:val="22"/>
        </w:rPr>
        <w:t>course</w:t>
      </w:r>
      <w:r w:rsidR="003F664E" w:rsidRPr="003F4DE0">
        <w:rPr>
          <w:i w:val="0"/>
          <w:iCs/>
          <w:sz w:val="22"/>
        </w:rPr>
        <w:t>.</w:t>
      </w:r>
    </w:p>
    <w:p w14:paraId="060DFBA3" w14:textId="63138093" w:rsidR="003A5B60" w:rsidRPr="003F4DE0" w:rsidRDefault="003A5B60" w:rsidP="00B16C5D">
      <w:pPr>
        <w:pStyle w:val="Heading3"/>
        <w:spacing w:before="0" w:line="240" w:lineRule="auto"/>
        <w:jc w:val="both"/>
        <w:rPr>
          <w:sz w:val="22"/>
        </w:rPr>
      </w:pPr>
      <w:r w:rsidRPr="003F4DE0">
        <w:rPr>
          <w:sz w:val="22"/>
        </w:rPr>
        <w:t>3.6 Articulation Agreement</w:t>
      </w:r>
    </w:p>
    <w:p w14:paraId="617B4653" w14:textId="0F1C8FB9" w:rsidR="003A5B60" w:rsidRPr="003F4DE0" w:rsidRDefault="003A5B60" w:rsidP="00B16C5D">
      <w:pPr>
        <w:spacing w:after="0" w:line="240" w:lineRule="auto"/>
        <w:jc w:val="both"/>
      </w:pPr>
      <w:r w:rsidRPr="003F4DE0">
        <w:lastRenderedPageBreak/>
        <w:t xml:space="preserve">An Articulation Agreement is where the Institute, after assessing another institution’s relevant </w:t>
      </w:r>
      <w:r w:rsidR="000E391E" w:rsidRPr="003F4DE0">
        <w:t>unit</w:t>
      </w:r>
      <w:r w:rsidRPr="003F4DE0">
        <w:t xml:space="preserve">s and qualifications has agreed to grant students a pre-determined amount of credit as an ongoing arrangement.. </w:t>
      </w:r>
    </w:p>
    <w:p w14:paraId="344CDD80" w14:textId="4DCD9461" w:rsidR="003A5B60" w:rsidRPr="003F4DE0" w:rsidRDefault="003A5B60" w:rsidP="00B16C5D">
      <w:pPr>
        <w:spacing w:after="0" w:line="240" w:lineRule="auto"/>
        <w:jc w:val="both"/>
      </w:pPr>
      <w:r w:rsidRPr="003F4DE0">
        <w:t xml:space="preserve">3.7 </w:t>
      </w:r>
      <w:r w:rsidRPr="003F4DE0">
        <w:rPr>
          <w:i/>
        </w:rPr>
        <w:t>Transition Agreement</w:t>
      </w:r>
      <w:r w:rsidRPr="003F4DE0">
        <w:t xml:space="preserve"> </w:t>
      </w:r>
    </w:p>
    <w:p w14:paraId="62C22B92" w14:textId="1DF181D5" w:rsidR="003A5B60" w:rsidRPr="003F4DE0" w:rsidRDefault="003A5B60" w:rsidP="00B16C5D">
      <w:pPr>
        <w:spacing w:after="0" w:line="240" w:lineRule="auto"/>
        <w:jc w:val="both"/>
      </w:pPr>
      <w:r w:rsidRPr="003F4DE0">
        <w:t xml:space="preserve"> A </w:t>
      </w:r>
      <w:r w:rsidR="00796BD6" w:rsidRPr="003F4DE0">
        <w:t>Transition</w:t>
      </w:r>
      <w:r w:rsidRPr="003F4DE0">
        <w:t xml:space="preserve"> Agreement is where the Institute, after assessing another institution’s relevant </w:t>
      </w:r>
      <w:r w:rsidR="000E391E" w:rsidRPr="003F4DE0">
        <w:t>unit</w:t>
      </w:r>
      <w:r w:rsidRPr="003F4DE0">
        <w:t>s and qualifications has agreed to grant students a pre-determined amount of credit as  a one</w:t>
      </w:r>
      <w:r w:rsidR="00396CAE" w:rsidRPr="003F4DE0">
        <w:t>-</w:t>
      </w:r>
      <w:r w:rsidRPr="003F4DE0">
        <w:t>off arrangement.</w:t>
      </w:r>
    </w:p>
    <w:p w14:paraId="28E1A217" w14:textId="5FA86688" w:rsidR="003A5B60" w:rsidRPr="003F4DE0" w:rsidRDefault="003A5B60" w:rsidP="00B16C5D">
      <w:pPr>
        <w:spacing w:after="0" w:line="240" w:lineRule="auto"/>
        <w:jc w:val="both"/>
      </w:pPr>
    </w:p>
    <w:p w14:paraId="43A11188" w14:textId="5D57967E" w:rsidR="00B35FB8" w:rsidRPr="003F4DE0" w:rsidRDefault="005607E2" w:rsidP="00B16C5D">
      <w:pPr>
        <w:pStyle w:val="Heading2"/>
        <w:numPr>
          <w:ilvl w:val="0"/>
          <w:numId w:val="43"/>
        </w:numPr>
        <w:spacing w:before="0" w:line="240" w:lineRule="auto"/>
        <w:jc w:val="both"/>
        <w:rPr>
          <w:sz w:val="22"/>
          <w:szCs w:val="22"/>
        </w:rPr>
      </w:pPr>
      <w:r w:rsidRPr="003F4DE0">
        <w:rPr>
          <w:sz w:val="22"/>
          <w:szCs w:val="22"/>
        </w:rPr>
        <w:t>P</w:t>
      </w:r>
      <w:r w:rsidR="00043293" w:rsidRPr="003F4DE0">
        <w:rPr>
          <w:sz w:val="22"/>
          <w:szCs w:val="22"/>
        </w:rPr>
        <w:t>OLICY</w:t>
      </w:r>
    </w:p>
    <w:p w14:paraId="4230557B" w14:textId="77777777" w:rsidR="003A5B60" w:rsidRPr="003F4DE0" w:rsidRDefault="003A5B60" w:rsidP="00B16C5D">
      <w:pPr>
        <w:pStyle w:val="ListParagraph"/>
        <w:numPr>
          <w:ilvl w:val="0"/>
          <w:numId w:val="44"/>
        </w:numPr>
        <w:autoSpaceDE w:val="0"/>
        <w:autoSpaceDN w:val="0"/>
        <w:adjustRightInd w:val="0"/>
        <w:spacing w:after="0" w:line="240" w:lineRule="auto"/>
        <w:contextualSpacing w:val="0"/>
        <w:jc w:val="both"/>
        <w:rPr>
          <w:rFonts w:cs="Arial"/>
          <w:vanish/>
          <w:color w:val="000000"/>
        </w:rPr>
      </w:pPr>
    </w:p>
    <w:p w14:paraId="2B0A350D" w14:textId="77777777" w:rsidR="003A5B60" w:rsidRPr="003F4DE0" w:rsidRDefault="003A5B60" w:rsidP="00B16C5D">
      <w:pPr>
        <w:pStyle w:val="ListParagraph"/>
        <w:numPr>
          <w:ilvl w:val="0"/>
          <w:numId w:val="44"/>
        </w:numPr>
        <w:autoSpaceDE w:val="0"/>
        <w:autoSpaceDN w:val="0"/>
        <w:adjustRightInd w:val="0"/>
        <w:spacing w:after="0" w:line="240" w:lineRule="auto"/>
        <w:contextualSpacing w:val="0"/>
        <w:jc w:val="both"/>
        <w:rPr>
          <w:rFonts w:cs="Arial"/>
          <w:vanish/>
          <w:color w:val="000000"/>
        </w:rPr>
      </w:pPr>
    </w:p>
    <w:p w14:paraId="01313C04" w14:textId="77777777" w:rsidR="003A5B60" w:rsidRPr="003F4DE0" w:rsidRDefault="003A5B60" w:rsidP="00B16C5D">
      <w:pPr>
        <w:pStyle w:val="ListParagraph"/>
        <w:numPr>
          <w:ilvl w:val="0"/>
          <w:numId w:val="44"/>
        </w:numPr>
        <w:autoSpaceDE w:val="0"/>
        <w:autoSpaceDN w:val="0"/>
        <w:adjustRightInd w:val="0"/>
        <w:spacing w:after="0" w:line="240" w:lineRule="auto"/>
        <w:contextualSpacing w:val="0"/>
        <w:jc w:val="both"/>
        <w:rPr>
          <w:rFonts w:cs="Arial"/>
          <w:vanish/>
          <w:color w:val="000000"/>
        </w:rPr>
      </w:pPr>
    </w:p>
    <w:p w14:paraId="19A62A3B" w14:textId="4A09430D" w:rsidR="003A5B60" w:rsidRPr="003F4DE0" w:rsidRDefault="003A5B60" w:rsidP="00B16C5D">
      <w:pPr>
        <w:pStyle w:val="ListParagraph"/>
        <w:numPr>
          <w:ilvl w:val="1"/>
          <w:numId w:val="46"/>
        </w:numPr>
        <w:spacing w:after="0" w:line="240" w:lineRule="auto"/>
        <w:ind w:left="450"/>
        <w:jc w:val="both"/>
      </w:pPr>
      <w:r w:rsidRPr="003F4DE0">
        <w:t xml:space="preserve">Granting of Credit </w:t>
      </w:r>
    </w:p>
    <w:p w14:paraId="68FFFDF8" w14:textId="16AEC6B1" w:rsidR="003A5B60" w:rsidRPr="003F4DE0" w:rsidRDefault="003A5B60" w:rsidP="00B16C5D">
      <w:pPr>
        <w:pStyle w:val="ListParagraph"/>
        <w:numPr>
          <w:ilvl w:val="2"/>
          <w:numId w:val="46"/>
        </w:numPr>
        <w:spacing w:after="0" w:line="240" w:lineRule="auto"/>
        <w:ind w:left="1170"/>
        <w:jc w:val="both"/>
      </w:pPr>
      <w:r w:rsidRPr="003F4DE0">
        <w:t xml:space="preserve">Credit may be granted on the basis of formal studies undertaken in recognised Australian tertiary institutions, or on the basis of the recognition of prior learning, or in some cases, on the basis of courses provided by recognised professional bodies or employers where appropriate certification is available. </w:t>
      </w:r>
    </w:p>
    <w:p w14:paraId="3F205668" w14:textId="550E95C7" w:rsidR="003A5B60" w:rsidRPr="003F4DE0" w:rsidRDefault="003A5B60" w:rsidP="00B16C5D">
      <w:pPr>
        <w:pStyle w:val="ListParagraph"/>
        <w:numPr>
          <w:ilvl w:val="2"/>
          <w:numId w:val="46"/>
        </w:numPr>
        <w:spacing w:after="0" w:line="240" w:lineRule="auto"/>
        <w:ind w:left="1170"/>
        <w:jc w:val="both"/>
      </w:pPr>
      <w:r w:rsidRPr="003F4DE0">
        <w:t xml:space="preserve">Credit will be granted for previous learning which has been assessed as having an equivalent AQF level and having equivalent learning outcomes, volume of learning, learning and assessment approaches and content of the relevant </w:t>
      </w:r>
      <w:r w:rsidR="000E391E" w:rsidRPr="003F4DE0">
        <w:t>unit</w:t>
      </w:r>
      <w:r w:rsidRPr="003F4DE0">
        <w:t xml:space="preserve"> at the Institute.</w:t>
      </w:r>
    </w:p>
    <w:p w14:paraId="4DDEAAAE" w14:textId="205D405F" w:rsidR="0041164E" w:rsidRPr="003F4DE0" w:rsidRDefault="0041164E" w:rsidP="00B16C5D">
      <w:pPr>
        <w:pStyle w:val="ListParagraph"/>
        <w:numPr>
          <w:ilvl w:val="2"/>
          <w:numId w:val="46"/>
        </w:numPr>
        <w:spacing w:after="0" w:line="240" w:lineRule="auto"/>
        <w:ind w:left="1170"/>
        <w:jc w:val="both"/>
      </w:pPr>
      <w:r w:rsidRPr="003F4DE0">
        <w:t>The Institute will provide a written record of any decision to the student to accept and will retain the written record of acceptance for two years after the student ceases to be an accepted student.</w:t>
      </w:r>
    </w:p>
    <w:p w14:paraId="12D20A7B" w14:textId="77777777" w:rsidR="00B16C5D" w:rsidRPr="003F4DE0" w:rsidRDefault="00B16C5D" w:rsidP="00B16C5D">
      <w:pPr>
        <w:pStyle w:val="ListParagraph"/>
        <w:spacing w:after="0" w:line="240" w:lineRule="auto"/>
        <w:ind w:left="1170"/>
        <w:jc w:val="both"/>
      </w:pPr>
    </w:p>
    <w:p w14:paraId="605E1FE3" w14:textId="31E1137A" w:rsidR="003A5B60" w:rsidRPr="003F4DE0" w:rsidRDefault="003A5B60" w:rsidP="00B16C5D">
      <w:pPr>
        <w:pStyle w:val="Default"/>
        <w:numPr>
          <w:ilvl w:val="1"/>
          <w:numId w:val="46"/>
        </w:numPr>
        <w:ind w:left="450"/>
        <w:jc w:val="both"/>
        <w:rPr>
          <w:rFonts w:ascii="Garamond" w:hAnsi="Garamond"/>
          <w:color w:val="auto"/>
          <w:sz w:val="22"/>
          <w:szCs w:val="22"/>
        </w:rPr>
      </w:pPr>
      <w:r w:rsidRPr="003F4DE0">
        <w:rPr>
          <w:rFonts w:ascii="Garamond" w:hAnsi="Garamond"/>
          <w:color w:val="auto"/>
          <w:sz w:val="22"/>
          <w:szCs w:val="22"/>
        </w:rPr>
        <w:t xml:space="preserve">Levels of Credit </w:t>
      </w:r>
    </w:p>
    <w:p w14:paraId="02399C24" w14:textId="0A3498FF" w:rsidR="00A82D75" w:rsidRPr="003F4DE0" w:rsidRDefault="003A5B60" w:rsidP="00B16C5D">
      <w:pPr>
        <w:pStyle w:val="ListParagraph"/>
        <w:numPr>
          <w:ilvl w:val="2"/>
          <w:numId w:val="46"/>
        </w:numPr>
        <w:spacing w:after="0" w:line="240" w:lineRule="auto"/>
        <w:ind w:left="1170"/>
        <w:jc w:val="both"/>
      </w:pPr>
      <w:r w:rsidRPr="003F4DE0">
        <w:t xml:space="preserve">The Institute is </w:t>
      </w:r>
      <w:r w:rsidR="00396CAE" w:rsidRPr="003F4DE0">
        <w:t>serious about</w:t>
      </w:r>
      <w:r w:rsidRPr="003F4DE0">
        <w:t xml:space="preserve"> maintain</w:t>
      </w:r>
      <w:r w:rsidR="00396CAE" w:rsidRPr="003F4DE0">
        <w:t>ing</w:t>
      </w:r>
      <w:r w:rsidRPr="003F4DE0">
        <w:t xml:space="preserve"> the integrity of the qualifications awarded by the Institute and as such places a maximum limit on the amount of credit that can be </w:t>
      </w:r>
      <w:r w:rsidR="00396CAE" w:rsidRPr="003F4DE0">
        <w:t xml:space="preserve">granted </w:t>
      </w:r>
      <w:r w:rsidRPr="003F4DE0">
        <w:t xml:space="preserve">for previous study. </w:t>
      </w:r>
      <w:bookmarkStart w:id="5" w:name="coursecataloguenumber"/>
      <w:bookmarkEnd w:id="5"/>
    </w:p>
    <w:p w14:paraId="2C13293F" w14:textId="4B3F9F2A" w:rsidR="00D02FBE" w:rsidRPr="003F4DE0" w:rsidRDefault="009D79B1" w:rsidP="00B16C5D">
      <w:pPr>
        <w:pStyle w:val="ListParagraph"/>
        <w:numPr>
          <w:ilvl w:val="2"/>
          <w:numId w:val="46"/>
        </w:numPr>
        <w:spacing w:after="0" w:line="240" w:lineRule="auto"/>
        <w:ind w:left="1170"/>
        <w:jc w:val="both"/>
      </w:pPr>
      <w:r w:rsidRPr="003F4DE0">
        <w:t xml:space="preserve">The maximum amount of credit transfer </w:t>
      </w:r>
      <w:r w:rsidR="00132809" w:rsidRPr="003F4DE0">
        <w:t>towards an</w:t>
      </w:r>
      <w:r w:rsidRPr="003F4DE0">
        <w:t xml:space="preserve"> </w:t>
      </w:r>
      <w:r w:rsidR="00CF38BA" w:rsidRPr="003F4DE0">
        <w:t>Institute</w:t>
      </w:r>
      <w:r w:rsidR="008B39A3" w:rsidRPr="003F4DE0">
        <w:t xml:space="preserve"> </w:t>
      </w:r>
      <w:r w:rsidR="003A5B60" w:rsidRPr="003F4DE0">
        <w:t xml:space="preserve">Bachelor </w:t>
      </w:r>
      <w:r w:rsidR="008B39A3" w:rsidRPr="003F4DE0">
        <w:t>degree</w:t>
      </w:r>
      <w:r w:rsidRPr="003F4DE0">
        <w:t xml:space="preserve"> qualification is </w:t>
      </w:r>
      <w:r w:rsidR="003A5B60" w:rsidRPr="003F4DE0">
        <w:t xml:space="preserve">200 credit points for students whose prior studies were at the Institute and </w:t>
      </w:r>
      <w:r w:rsidR="00816EAC" w:rsidRPr="003F4DE0">
        <w:t>1</w:t>
      </w:r>
      <w:r w:rsidR="008B39A3" w:rsidRPr="003F4DE0">
        <w:t>6</w:t>
      </w:r>
      <w:r w:rsidR="00816EAC" w:rsidRPr="003F4DE0">
        <w:t>0 credit points</w:t>
      </w:r>
      <w:r w:rsidR="003A5B60" w:rsidRPr="003F4DE0">
        <w:t xml:space="preserve"> in all other cases This means that in </w:t>
      </w:r>
      <w:r w:rsidR="002E5C61" w:rsidRPr="003F4DE0">
        <w:t>order to be awarded a Bachelor degree by the Institute a</w:t>
      </w:r>
      <w:r w:rsidR="00D02FBE" w:rsidRPr="003F4DE0">
        <w:t xml:space="preserve"> student is required to complete a minimum of </w:t>
      </w:r>
      <w:r w:rsidR="003A5B60" w:rsidRPr="003F4DE0">
        <w:t xml:space="preserve">40 credit points ( 4 </w:t>
      </w:r>
      <w:r w:rsidR="000E391E" w:rsidRPr="003F4DE0">
        <w:t>unit</w:t>
      </w:r>
      <w:r w:rsidR="003A5B60" w:rsidRPr="003F4DE0">
        <w:t xml:space="preserve">s) for students  whose prior studies were at the Institute and </w:t>
      </w:r>
      <w:r w:rsidR="00384925" w:rsidRPr="003F4DE0">
        <w:t>80 credit points</w:t>
      </w:r>
      <w:r w:rsidR="00FF00D2" w:rsidRPr="003F4DE0">
        <w:t xml:space="preserve"> (8 </w:t>
      </w:r>
      <w:r w:rsidR="000E391E" w:rsidRPr="003F4DE0">
        <w:t>unit</w:t>
      </w:r>
      <w:r w:rsidR="003A5B60" w:rsidRPr="003F4DE0">
        <w:t>s</w:t>
      </w:r>
      <w:r w:rsidR="00FF00D2" w:rsidRPr="003F4DE0">
        <w:t xml:space="preserve">) </w:t>
      </w:r>
      <w:r w:rsidR="00E9708D" w:rsidRPr="003F4DE0">
        <w:t xml:space="preserve">of </w:t>
      </w:r>
      <w:r w:rsidR="003A5B60" w:rsidRPr="003F4DE0">
        <w:t xml:space="preserve">an </w:t>
      </w:r>
      <w:r w:rsidR="00CF38BA" w:rsidRPr="003F4DE0">
        <w:t>Institute</w:t>
      </w:r>
      <w:r w:rsidR="00FF00D2" w:rsidRPr="003F4DE0">
        <w:t>’s</w:t>
      </w:r>
      <w:r w:rsidR="00E9708D" w:rsidRPr="003F4DE0">
        <w:t xml:space="preserve"> Bachelor degree </w:t>
      </w:r>
      <w:r w:rsidR="00FF00D2" w:rsidRPr="003F4DE0">
        <w:t xml:space="preserve">course </w:t>
      </w:r>
      <w:r w:rsidR="003A5B60" w:rsidRPr="003F4DE0">
        <w:t>in all other cases.</w:t>
      </w:r>
    </w:p>
    <w:p w14:paraId="161E004F" w14:textId="040B4A4C" w:rsidR="00677928" w:rsidRPr="003F4DE0" w:rsidRDefault="003A5B60" w:rsidP="00B16C5D">
      <w:pPr>
        <w:pStyle w:val="Heading4"/>
        <w:tabs>
          <w:tab w:val="left" w:pos="1170"/>
          <w:tab w:val="left" w:pos="1260"/>
        </w:tabs>
        <w:spacing w:before="0" w:line="240" w:lineRule="auto"/>
        <w:ind w:firstLine="450"/>
        <w:jc w:val="both"/>
        <w:rPr>
          <w:rFonts w:eastAsiaTheme="minorEastAsia" w:cstheme="minorBidi"/>
          <w:b w:val="0"/>
          <w:bCs w:val="0"/>
          <w:i w:val="0"/>
          <w:iCs w:val="0"/>
        </w:rPr>
      </w:pPr>
      <w:r w:rsidRPr="003F4DE0">
        <w:rPr>
          <w:rFonts w:eastAsiaTheme="minorEastAsia" w:cstheme="minorBidi"/>
          <w:b w:val="0"/>
          <w:bCs w:val="0"/>
          <w:i w:val="0"/>
          <w:iCs w:val="0"/>
        </w:rPr>
        <w:t>4.2</w:t>
      </w:r>
      <w:r w:rsidR="005607E2" w:rsidRPr="003F4DE0">
        <w:rPr>
          <w:rFonts w:eastAsiaTheme="minorEastAsia" w:cstheme="minorBidi"/>
          <w:b w:val="0"/>
          <w:bCs w:val="0"/>
          <w:i w:val="0"/>
          <w:iCs w:val="0"/>
        </w:rPr>
        <w:t>.3</w:t>
      </w:r>
      <w:r w:rsidR="005607E2" w:rsidRPr="003F4DE0">
        <w:rPr>
          <w:rFonts w:eastAsiaTheme="minorEastAsia" w:cstheme="minorBidi"/>
          <w:b w:val="0"/>
          <w:bCs w:val="0"/>
          <w:i w:val="0"/>
          <w:iCs w:val="0"/>
        </w:rPr>
        <w:tab/>
      </w:r>
      <w:r w:rsidR="00E9708D" w:rsidRPr="003F4DE0">
        <w:rPr>
          <w:rFonts w:eastAsiaTheme="minorEastAsia" w:cstheme="minorBidi"/>
          <w:b w:val="0"/>
          <w:bCs w:val="0"/>
          <w:i w:val="0"/>
          <w:iCs w:val="0"/>
        </w:rPr>
        <w:t xml:space="preserve">The following table provides guidelines to the amount of credit that may be transferred </w:t>
      </w:r>
      <w:r w:rsidR="003F4DE0">
        <w:rPr>
          <w:rFonts w:eastAsiaTheme="minorEastAsia" w:cstheme="minorBidi"/>
          <w:b w:val="0"/>
          <w:bCs w:val="0"/>
          <w:i w:val="0"/>
          <w:iCs w:val="0"/>
        </w:rPr>
        <w:tab/>
      </w:r>
      <w:r w:rsidR="00E9708D" w:rsidRPr="003F4DE0">
        <w:rPr>
          <w:rFonts w:eastAsiaTheme="minorEastAsia" w:cstheme="minorBidi"/>
          <w:b w:val="0"/>
          <w:bCs w:val="0"/>
          <w:i w:val="0"/>
          <w:iCs w:val="0"/>
        </w:rPr>
        <w:t xml:space="preserve">towards </w:t>
      </w:r>
      <w:r w:rsidR="00FF00D2" w:rsidRPr="003F4DE0">
        <w:rPr>
          <w:rFonts w:eastAsiaTheme="minorEastAsia" w:cstheme="minorBidi"/>
          <w:b w:val="0"/>
          <w:bCs w:val="0"/>
          <w:i w:val="0"/>
          <w:iCs w:val="0"/>
        </w:rPr>
        <w:t xml:space="preserve">the </w:t>
      </w:r>
      <w:r w:rsidR="00CF38BA" w:rsidRPr="003F4DE0">
        <w:rPr>
          <w:rFonts w:eastAsiaTheme="minorEastAsia" w:cstheme="minorBidi"/>
          <w:b w:val="0"/>
          <w:bCs w:val="0"/>
          <w:i w:val="0"/>
          <w:iCs w:val="0"/>
        </w:rPr>
        <w:t>Institute</w:t>
      </w:r>
      <w:r w:rsidR="00FF00D2" w:rsidRPr="003F4DE0">
        <w:rPr>
          <w:rFonts w:eastAsiaTheme="minorEastAsia" w:cstheme="minorBidi"/>
          <w:b w:val="0"/>
          <w:bCs w:val="0"/>
          <w:i w:val="0"/>
          <w:iCs w:val="0"/>
        </w:rPr>
        <w:t>’s</w:t>
      </w:r>
      <w:r w:rsidR="00E9708D" w:rsidRPr="003F4DE0">
        <w:rPr>
          <w:rFonts w:eastAsiaTheme="minorEastAsia" w:cstheme="minorBidi"/>
          <w:b w:val="0"/>
          <w:bCs w:val="0"/>
          <w:i w:val="0"/>
          <w:iCs w:val="0"/>
        </w:rPr>
        <w:t xml:space="preserve"> Bachelor degree </w:t>
      </w:r>
      <w:r w:rsidRPr="003F4DE0">
        <w:rPr>
          <w:rFonts w:eastAsiaTheme="minorEastAsia" w:cstheme="minorBidi"/>
          <w:b w:val="0"/>
          <w:bCs w:val="0"/>
          <w:i w:val="0"/>
          <w:iCs w:val="0"/>
        </w:rPr>
        <w:t>course</w:t>
      </w:r>
      <w:r w:rsidR="007C74F6" w:rsidRPr="003F4DE0">
        <w:rPr>
          <w:rFonts w:eastAsiaTheme="minorEastAsia" w:cstheme="minorBidi"/>
          <w:b w:val="0"/>
          <w:bCs w:val="0"/>
          <w:i w:val="0"/>
          <w:iCs w:val="0"/>
        </w:rPr>
        <w:t xml:space="preserve"> course</w:t>
      </w:r>
      <w:r w:rsidRPr="003F4DE0">
        <w:rPr>
          <w:rFonts w:eastAsiaTheme="minorEastAsia" w:cstheme="minorBidi"/>
          <w:b w:val="0"/>
          <w:bCs w:val="0"/>
          <w:i w:val="0"/>
          <w:iCs w:val="0"/>
        </w:rPr>
        <w:t>s</w:t>
      </w:r>
      <w:r w:rsidR="00E9708D" w:rsidRPr="003F4DE0">
        <w:rPr>
          <w:rFonts w:eastAsiaTheme="minorEastAsia" w:cstheme="minorBidi"/>
          <w:b w:val="0"/>
          <w:bCs w:val="0"/>
          <w:i w:val="0"/>
          <w:iCs w:val="0"/>
        </w:rPr>
        <w:t xml:space="preserve">. </w:t>
      </w:r>
    </w:p>
    <w:p w14:paraId="14C72D92" w14:textId="3C412F1E" w:rsidR="00E54CAA" w:rsidRPr="003F4DE0" w:rsidRDefault="003F4DE0" w:rsidP="003F4DE0">
      <w:pPr>
        <w:ind w:left="1134" w:hanging="708"/>
      </w:pPr>
      <w:r>
        <w:t xml:space="preserve">4.2.4      </w:t>
      </w:r>
      <w:r w:rsidR="00E54CAA" w:rsidRPr="003F4DE0">
        <w:t>Approval of the level of credit transfer for applications from i</w:t>
      </w:r>
      <w:r>
        <w:t xml:space="preserve">ndividual students is specified </w:t>
      </w:r>
      <w:r w:rsidR="00E54CAA" w:rsidRPr="003F4DE0">
        <w:t>in Table 1 (below):</w:t>
      </w:r>
    </w:p>
    <w:p w14:paraId="17FE95B7" w14:textId="4E81E017" w:rsidR="00E9708D" w:rsidRPr="003F4DE0" w:rsidRDefault="00E9708D" w:rsidP="00B16C5D">
      <w:pPr>
        <w:spacing w:after="0" w:line="240" w:lineRule="auto"/>
      </w:pPr>
    </w:p>
    <w:p w14:paraId="2871A6A5" w14:textId="77777777" w:rsidR="00E54CAA" w:rsidRPr="003F4DE0" w:rsidRDefault="00E54CAA" w:rsidP="00860C11">
      <w:pPr>
        <w:spacing w:after="0" w:line="240" w:lineRule="auto"/>
      </w:pPr>
      <w:r w:rsidRPr="003F4DE0">
        <w:t>Table 1</w:t>
      </w:r>
    </w:p>
    <w:p w14:paraId="012331BF" w14:textId="77777777" w:rsidR="003F664E" w:rsidRPr="003F4DE0" w:rsidRDefault="003F664E" w:rsidP="00B16C5D">
      <w:pPr>
        <w:spacing w:after="0" w:line="240" w:lineRule="auto"/>
      </w:pPr>
    </w:p>
    <w:tbl>
      <w:tblPr>
        <w:tblStyle w:val="LightLis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2244"/>
        <w:gridCol w:w="2269"/>
        <w:gridCol w:w="2269"/>
      </w:tblGrid>
      <w:tr w:rsidR="003A5B60" w:rsidRPr="003F4DE0" w14:paraId="7C9832B5" w14:textId="77777777" w:rsidTr="009C0C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7F94184E" w14:textId="77777777" w:rsidR="003A5B60" w:rsidRPr="003F4DE0" w:rsidRDefault="003A5B60" w:rsidP="00B16C5D">
            <w:r w:rsidRPr="003F4DE0">
              <w:t>Prior level of study</w:t>
            </w:r>
          </w:p>
        </w:tc>
        <w:tc>
          <w:tcPr>
            <w:tcW w:w="2310" w:type="dxa"/>
          </w:tcPr>
          <w:p w14:paraId="6F756F6E" w14:textId="09B1D3CF" w:rsidR="003A5B60" w:rsidRPr="003F4DE0" w:rsidRDefault="003A5B60" w:rsidP="00B16C5D">
            <w:pPr>
              <w:cnfStyle w:val="100000000000" w:firstRow="1" w:lastRow="0" w:firstColumn="0" w:lastColumn="0" w:oddVBand="0" w:evenVBand="0" w:oddHBand="0" w:evenHBand="0" w:firstRowFirstColumn="0" w:firstRowLastColumn="0" w:lastRowFirstColumn="0" w:lastRowLastColumn="0"/>
            </w:pPr>
            <w:r w:rsidRPr="003F4DE0">
              <w:t xml:space="preserve">Maximum unspecified and specified (including block credit) combined </w:t>
            </w:r>
          </w:p>
        </w:tc>
        <w:tc>
          <w:tcPr>
            <w:tcW w:w="2310" w:type="dxa"/>
          </w:tcPr>
          <w:p w14:paraId="0740BBFC" w14:textId="77777777" w:rsidR="003A5B60" w:rsidRPr="003F4DE0" w:rsidRDefault="003A5B60" w:rsidP="00B16C5D">
            <w:pPr>
              <w:cnfStyle w:val="100000000000" w:firstRow="1" w:lastRow="0" w:firstColumn="0" w:lastColumn="0" w:oddVBand="0" w:evenVBand="0" w:oddHBand="0" w:evenHBand="0" w:firstRowFirstColumn="0" w:firstRowLastColumn="0" w:lastRowFirstColumn="0" w:lastRowLastColumn="0"/>
            </w:pPr>
            <w:r w:rsidRPr="003F4DE0">
              <w:t>AB discretionary maximum unspecified and specified (including block credit) combined for studies not completed at the Institute</w:t>
            </w:r>
          </w:p>
        </w:tc>
        <w:tc>
          <w:tcPr>
            <w:tcW w:w="2310" w:type="dxa"/>
          </w:tcPr>
          <w:p w14:paraId="5978711C" w14:textId="77777777" w:rsidR="003A5B60" w:rsidRPr="003F4DE0" w:rsidRDefault="003A5B60" w:rsidP="00B16C5D">
            <w:pPr>
              <w:cnfStyle w:val="100000000000" w:firstRow="1" w:lastRow="0" w:firstColumn="0" w:lastColumn="0" w:oddVBand="0" w:evenVBand="0" w:oddHBand="0" w:evenHBand="0" w:firstRowFirstColumn="0" w:firstRowLastColumn="0" w:lastRowFirstColumn="0" w:lastRowLastColumn="0"/>
            </w:pPr>
            <w:r w:rsidRPr="003F4DE0">
              <w:t xml:space="preserve">AB discretionary maximum unspecified and specified (including block credit) combined for studies completed at the Institute </w:t>
            </w:r>
          </w:p>
        </w:tc>
      </w:tr>
      <w:tr w:rsidR="003A5B60" w:rsidRPr="003F4DE0" w14:paraId="0F630A3F" w14:textId="77777777" w:rsidTr="00051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243E5E14" w14:textId="77777777" w:rsidR="003A5B60" w:rsidRPr="003F4DE0" w:rsidRDefault="003A5B60" w:rsidP="00B16C5D"/>
        </w:tc>
        <w:tc>
          <w:tcPr>
            <w:tcW w:w="2310" w:type="dxa"/>
          </w:tcPr>
          <w:p w14:paraId="07ABF764" w14:textId="658CC9BB" w:rsidR="003A5B60" w:rsidRPr="003F4DE0" w:rsidRDefault="003A5B60" w:rsidP="00B16C5D">
            <w:pPr>
              <w:jc w:val="center"/>
              <w:cnfStyle w:val="000000100000" w:firstRow="0" w:lastRow="0" w:firstColumn="0" w:lastColumn="0" w:oddVBand="0" w:evenVBand="0" w:oddHBand="1" w:evenHBand="0" w:firstRowFirstColumn="0" w:firstRowLastColumn="0" w:lastRowFirstColumn="0" w:lastRowLastColumn="0"/>
            </w:pPr>
            <w:r w:rsidRPr="003F4DE0">
              <w:t>COLUMN 1</w:t>
            </w:r>
          </w:p>
        </w:tc>
        <w:tc>
          <w:tcPr>
            <w:tcW w:w="2310" w:type="dxa"/>
          </w:tcPr>
          <w:p w14:paraId="6B3E6DCC" w14:textId="329291F9" w:rsidR="003A5B60" w:rsidRPr="003F4DE0" w:rsidRDefault="003A5B60" w:rsidP="00B16C5D">
            <w:pPr>
              <w:jc w:val="center"/>
              <w:cnfStyle w:val="000000100000" w:firstRow="0" w:lastRow="0" w:firstColumn="0" w:lastColumn="0" w:oddVBand="0" w:evenVBand="0" w:oddHBand="1" w:evenHBand="0" w:firstRowFirstColumn="0" w:firstRowLastColumn="0" w:lastRowFirstColumn="0" w:lastRowLastColumn="0"/>
            </w:pPr>
            <w:r w:rsidRPr="003F4DE0">
              <w:t xml:space="preserve">COLUMN2 </w:t>
            </w:r>
          </w:p>
        </w:tc>
        <w:tc>
          <w:tcPr>
            <w:tcW w:w="2310" w:type="dxa"/>
          </w:tcPr>
          <w:p w14:paraId="55072D55" w14:textId="65FD64F7" w:rsidR="003A5B60" w:rsidRPr="003F4DE0" w:rsidRDefault="007653C8" w:rsidP="00B16C5D">
            <w:pPr>
              <w:jc w:val="center"/>
              <w:cnfStyle w:val="000000100000" w:firstRow="0" w:lastRow="0" w:firstColumn="0" w:lastColumn="0" w:oddVBand="0" w:evenVBand="0" w:oddHBand="1" w:evenHBand="0" w:firstRowFirstColumn="0" w:firstRowLastColumn="0" w:lastRowFirstColumn="0" w:lastRowLastColumn="0"/>
            </w:pPr>
            <w:r w:rsidRPr="003F4DE0">
              <w:t>COLU</w:t>
            </w:r>
            <w:r w:rsidR="003A5B60" w:rsidRPr="003F4DE0">
              <w:t>MN3</w:t>
            </w:r>
          </w:p>
        </w:tc>
      </w:tr>
      <w:tr w:rsidR="003A5B60" w:rsidRPr="003F4DE0" w14:paraId="1E2C8FA8" w14:textId="77777777" w:rsidTr="00051913">
        <w:tc>
          <w:tcPr>
            <w:cnfStyle w:val="001000000000" w:firstRow="0" w:lastRow="0" w:firstColumn="1" w:lastColumn="0" w:oddVBand="0" w:evenVBand="0" w:oddHBand="0" w:evenHBand="0" w:firstRowFirstColumn="0" w:firstRowLastColumn="0" w:lastRowFirstColumn="0" w:lastRowLastColumn="0"/>
            <w:tcW w:w="2310" w:type="dxa"/>
          </w:tcPr>
          <w:p w14:paraId="75DE4D66" w14:textId="77777777" w:rsidR="003A5B60" w:rsidRPr="003F4DE0" w:rsidRDefault="003A5B60" w:rsidP="00B16C5D">
            <w:r w:rsidRPr="003F4DE0">
              <w:t>AQF Diploma</w:t>
            </w:r>
          </w:p>
        </w:tc>
        <w:tc>
          <w:tcPr>
            <w:tcW w:w="2310" w:type="dxa"/>
          </w:tcPr>
          <w:p w14:paraId="6C4C47CD" w14:textId="77777777" w:rsidR="003A5B60" w:rsidRPr="003F4DE0" w:rsidRDefault="003A5B60" w:rsidP="00B16C5D">
            <w:pPr>
              <w:jc w:val="center"/>
              <w:cnfStyle w:val="000000000000" w:firstRow="0" w:lastRow="0" w:firstColumn="0" w:lastColumn="0" w:oddVBand="0" w:evenVBand="0" w:oddHBand="0" w:evenHBand="0" w:firstRowFirstColumn="0" w:firstRowLastColumn="0" w:lastRowFirstColumn="0" w:lastRowLastColumn="0"/>
            </w:pPr>
            <w:r w:rsidRPr="003F4DE0">
              <w:t>Up to  80 credit points</w:t>
            </w:r>
          </w:p>
        </w:tc>
        <w:tc>
          <w:tcPr>
            <w:tcW w:w="2310" w:type="dxa"/>
          </w:tcPr>
          <w:p w14:paraId="456B6627" w14:textId="77777777" w:rsidR="003A5B60" w:rsidRPr="003F4DE0" w:rsidRDefault="003A5B60" w:rsidP="00B16C5D">
            <w:pPr>
              <w:jc w:val="center"/>
              <w:cnfStyle w:val="000000000000" w:firstRow="0" w:lastRow="0" w:firstColumn="0" w:lastColumn="0" w:oddVBand="0" w:evenVBand="0" w:oddHBand="0" w:evenHBand="0" w:firstRowFirstColumn="0" w:firstRowLastColumn="0" w:lastRowFirstColumn="0" w:lastRowLastColumn="0"/>
            </w:pPr>
            <w:r w:rsidRPr="003F4DE0">
              <w:t>Up to 120 credit points</w:t>
            </w:r>
          </w:p>
        </w:tc>
        <w:tc>
          <w:tcPr>
            <w:tcW w:w="2310" w:type="dxa"/>
          </w:tcPr>
          <w:p w14:paraId="443AC88D" w14:textId="77777777" w:rsidR="003A5B60" w:rsidRPr="003F4DE0" w:rsidRDefault="003A5B60" w:rsidP="00B16C5D">
            <w:pPr>
              <w:jc w:val="center"/>
              <w:cnfStyle w:val="000000000000" w:firstRow="0" w:lastRow="0" w:firstColumn="0" w:lastColumn="0" w:oddVBand="0" w:evenVBand="0" w:oddHBand="0" w:evenHBand="0" w:firstRowFirstColumn="0" w:firstRowLastColumn="0" w:lastRowFirstColumn="0" w:lastRowLastColumn="0"/>
            </w:pPr>
            <w:r w:rsidRPr="003F4DE0">
              <w:t>Up to 120 credit points</w:t>
            </w:r>
          </w:p>
        </w:tc>
      </w:tr>
      <w:tr w:rsidR="003A5B60" w:rsidRPr="003F4DE0" w14:paraId="39D8FA0D" w14:textId="77777777" w:rsidTr="00051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2E8FEFFB" w14:textId="77777777" w:rsidR="003A5B60" w:rsidRPr="003F4DE0" w:rsidRDefault="003A5B60" w:rsidP="00B16C5D">
            <w:r w:rsidRPr="003F4DE0">
              <w:t>AQF Advanced Diploma</w:t>
            </w:r>
          </w:p>
        </w:tc>
        <w:tc>
          <w:tcPr>
            <w:tcW w:w="2310" w:type="dxa"/>
          </w:tcPr>
          <w:p w14:paraId="62F642C1" w14:textId="77777777" w:rsidR="003A5B60" w:rsidRPr="003F4DE0" w:rsidRDefault="003A5B60" w:rsidP="00B16C5D">
            <w:pPr>
              <w:jc w:val="center"/>
              <w:cnfStyle w:val="000000100000" w:firstRow="0" w:lastRow="0" w:firstColumn="0" w:lastColumn="0" w:oddVBand="0" w:evenVBand="0" w:oddHBand="1" w:evenHBand="0" w:firstRowFirstColumn="0" w:firstRowLastColumn="0" w:lastRowFirstColumn="0" w:lastRowLastColumn="0"/>
            </w:pPr>
            <w:r w:rsidRPr="003F4DE0">
              <w:t>Up to 120 credit points</w:t>
            </w:r>
          </w:p>
        </w:tc>
        <w:tc>
          <w:tcPr>
            <w:tcW w:w="2310" w:type="dxa"/>
          </w:tcPr>
          <w:p w14:paraId="1C6BC666" w14:textId="77777777" w:rsidR="003A5B60" w:rsidRPr="003F4DE0" w:rsidRDefault="003A5B60" w:rsidP="00B16C5D">
            <w:pPr>
              <w:jc w:val="center"/>
              <w:cnfStyle w:val="000000100000" w:firstRow="0" w:lastRow="0" w:firstColumn="0" w:lastColumn="0" w:oddVBand="0" w:evenVBand="0" w:oddHBand="1" w:evenHBand="0" w:firstRowFirstColumn="0" w:firstRowLastColumn="0" w:lastRowFirstColumn="0" w:lastRowLastColumn="0"/>
            </w:pPr>
            <w:r w:rsidRPr="003F4DE0">
              <w:t>Up to 160 credit points</w:t>
            </w:r>
          </w:p>
        </w:tc>
        <w:tc>
          <w:tcPr>
            <w:tcW w:w="2310" w:type="dxa"/>
          </w:tcPr>
          <w:p w14:paraId="6DA6FA30" w14:textId="77777777" w:rsidR="003A5B60" w:rsidRPr="003F4DE0" w:rsidRDefault="003A5B60" w:rsidP="00B16C5D">
            <w:pPr>
              <w:jc w:val="center"/>
              <w:cnfStyle w:val="000000100000" w:firstRow="0" w:lastRow="0" w:firstColumn="0" w:lastColumn="0" w:oddVBand="0" w:evenVBand="0" w:oddHBand="1" w:evenHBand="0" w:firstRowFirstColumn="0" w:firstRowLastColumn="0" w:lastRowFirstColumn="0" w:lastRowLastColumn="0"/>
            </w:pPr>
            <w:r w:rsidRPr="003F4DE0">
              <w:t>Up to 160 credit points</w:t>
            </w:r>
          </w:p>
        </w:tc>
      </w:tr>
      <w:tr w:rsidR="003A5B60" w:rsidRPr="003F4DE0" w14:paraId="3AE8272E" w14:textId="77777777" w:rsidTr="00051913">
        <w:tc>
          <w:tcPr>
            <w:cnfStyle w:val="001000000000" w:firstRow="0" w:lastRow="0" w:firstColumn="1" w:lastColumn="0" w:oddVBand="0" w:evenVBand="0" w:oddHBand="0" w:evenHBand="0" w:firstRowFirstColumn="0" w:firstRowLastColumn="0" w:lastRowFirstColumn="0" w:lastRowLastColumn="0"/>
            <w:tcW w:w="2310" w:type="dxa"/>
          </w:tcPr>
          <w:p w14:paraId="53FD8CE1" w14:textId="77777777" w:rsidR="003A5B60" w:rsidRPr="003F4DE0" w:rsidRDefault="003A5B60" w:rsidP="00B16C5D">
            <w:r w:rsidRPr="003F4DE0">
              <w:t xml:space="preserve">Associate Degree </w:t>
            </w:r>
          </w:p>
        </w:tc>
        <w:tc>
          <w:tcPr>
            <w:tcW w:w="2310" w:type="dxa"/>
          </w:tcPr>
          <w:p w14:paraId="41126A81" w14:textId="77777777" w:rsidR="003A5B60" w:rsidRPr="003F4DE0" w:rsidRDefault="003A5B60" w:rsidP="00B16C5D">
            <w:pPr>
              <w:jc w:val="center"/>
              <w:cnfStyle w:val="000000000000" w:firstRow="0" w:lastRow="0" w:firstColumn="0" w:lastColumn="0" w:oddVBand="0" w:evenVBand="0" w:oddHBand="0" w:evenHBand="0" w:firstRowFirstColumn="0" w:firstRowLastColumn="0" w:lastRowFirstColumn="0" w:lastRowLastColumn="0"/>
            </w:pPr>
            <w:r w:rsidRPr="003F4DE0">
              <w:t>Up to 120 credit points</w:t>
            </w:r>
          </w:p>
        </w:tc>
        <w:tc>
          <w:tcPr>
            <w:tcW w:w="2310" w:type="dxa"/>
          </w:tcPr>
          <w:p w14:paraId="7A8CBDBD" w14:textId="77777777" w:rsidR="003A5B60" w:rsidRPr="003F4DE0" w:rsidRDefault="003A5B60" w:rsidP="00B16C5D">
            <w:pPr>
              <w:jc w:val="center"/>
              <w:cnfStyle w:val="000000000000" w:firstRow="0" w:lastRow="0" w:firstColumn="0" w:lastColumn="0" w:oddVBand="0" w:evenVBand="0" w:oddHBand="0" w:evenHBand="0" w:firstRowFirstColumn="0" w:firstRowLastColumn="0" w:lastRowFirstColumn="0" w:lastRowLastColumn="0"/>
            </w:pPr>
            <w:r w:rsidRPr="003F4DE0">
              <w:t>Up to 160 credit points</w:t>
            </w:r>
          </w:p>
        </w:tc>
        <w:tc>
          <w:tcPr>
            <w:tcW w:w="2310" w:type="dxa"/>
          </w:tcPr>
          <w:p w14:paraId="0457E490" w14:textId="77777777" w:rsidR="003A5B60" w:rsidRPr="003F4DE0" w:rsidRDefault="003A5B60" w:rsidP="00B16C5D">
            <w:pPr>
              <w:jc w:val="center"/>
              <w:cnfStyle w:val="000000000000" w:firstRow="0" w:lastRow="0" w:firstColumn="0" w:lastColumn="0" w:oddVBand="0" w:evenVBand="0" w:oddHBand="0" w:evenHBand="0" w:firstRowFirstColumn="0" w:firstRowLastColumn="0" w:lastRowFirstColumn="0" w:lastRowLastColumn="0"/>
            </w:pPr>
            <w:r w:rsidRPr="003F4DE0">
              <w:t>Up to 160 credit points</w:t>
            </w:r>
          </w:p>
        </w:tc>
      </w:tr>
      <w:tr w:rsidR="003A5B60" w:rsidRPr="003F4DE0" w14:paraId="72F02AAE" w14:textId="77777777" w:rsidTr="000519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7733D265" w14:textId="77777777" w:rsidR="003A5B60" w:rsidRPr="003F4DE0" w:rsidRDefault="003A5B60" w:rsidP="00B16C5D">
            <w:r w:rsidRPr="003F4DE0">
              <w:t>Bachelor Degree</w:t>
            </w:r>
          </w:p>
        </w:tc>
        <w:tc>
          <w:tcPr>
            <w:tcW w:w="2310" w:type="dxa"/>
          </w:tcPr>
          <w:p w14:paraId="1A1B5FDC" w14:textId="77777777" w:rsidR="003A5B60" w:rsidRPr="003F4DE0" w:rsidRDefault="003A5B60" w:rsidP="00B16C5D">
            <w:pPr>
              <w:jc w:val="center"/>
              <w:cnfStyle w:val="000000100000" w:firstRow="0" w:lastRow="0" w:firstColumn="0" w:lastColumn="0" w:oddVBand="0" w:evenVBand="0" w:oddHBand="1" w:evenHBand="0" w:firstRowFirstColumn="0" w:firstRowLastColumn="0" w:lastRowFirstColumn="0" w:lastRowLastColumn="0"/>
            </w:pPr>
            <w:r w:rsidRPr="003F4DE0">
              <w:t>Up to 120 credit points</w:t>
            </w:r>
          </w:p>
        </w:tc>
        <w:tc>
          <w:tcPr>
            <w:tcW w:w="2310" w:type="dxa"/>
          </w:tcPr>
          <w:p w14:paraId="27393571" w14:textId="77777777" w:rsidR="003A5B60" w:rsidRPr="003F4DE0" w:rsidRDefault="003A5B60" w:rsidP="00B16C5D">
            <w:pPr>
              <w:jc w:val="center"/>
              <w:cnfStyle w:val="000000100000" w:firstRow="0" w:lastRow="0" w:firstColumn="0" w:lastColumn="0" w:oddVBand="0" w:evenVBand="0" w:oddHBand="1" w:evenHBand="0" w:firstRowFirstColumn="0" w:firstRowLastColumn="0" w:lastRowFirstColumn="0" w:lastRowLastColumn="0"/>
            </w:pPr>
            <w:r w:rsidRPr="003F4DE0">
              <w:t>Up to 160 credit points</w:t>
            </w:r>
          </w:p>
        </w:tc>
        <w:tc>
          <w:tcPr>
            <w:tcW w:w="2310" w:type="dxa"/>
          </w:tcPr>
          <w:p w14:paraId="58C40492" w14:textId="77777777" w:rsidR="003A5B60" w:rsidRPr="003F4DE0" w:rsidRDefault="003A5B60" w:rsidP="00B16C5D">
            <w:pPr>
              <w:jc w:val="center"/>
              <w:cnfStyle w:val="000000100000" w:firstRow="0" w:lastRow="0" w:firstColumn="0" w:lastColumn="0" w:oddVBand="0" w:evenVBand="0" w:oddHBand="1" w:evenHBand="0" w:firstRowFirstColumn="0" w:firstRowLastColumn="0" w:lastRowFirstColumn="0" w:lastRowLastColumn="0"/>
            </w:pPr>
            <w:r w:rsidRPr="003F4DE0">
              <w:t>Up to 200 credit points</w:t>
            </w:r>
          </w:p>
        </w:tc>
      </w:tr>
      <w:tr w:rsidR="003A5B60" w:rsidRPr="003F4DE0" w14:paraId="6269DF0F" w14:textId="77777777" w:rsidTr="00051913">
        <w:tc>
          <w:tcPr>
            <w:cnfStyle w:val="001000000000" w:firstRow="0" w:lastRow="0" w:firstColumn="1" w:lastColumn="0" w:oddVBand="0" w:evenVBand="0" w:oddHBand="0" w:evenHBand="0" w:firstRowFirstColumn="0" w:firstRowLastColumn="0" w:lastRowFirstColumn="0" w:lastRowLastColumn="0"/>
            <w:tcW w:w="2310" w:type="dxa"/>
          </w:tcPr>
          <w:p w14:paraId="78D87E10" w14:textId="129F3924" w:rsidR="003A5B60" w:rsidRPr="003F4DE0" w:rsidRDefault="003A5B60" w:rsidP="00B16C5D">
            <w:bookmarkStart w:id="6" w:name="_GoBack"/>
            <w:bookmarkEnd w:id="6"/>
            <w:r w:rsidRPr="003F4DE0">
              <w:lastRenderedPageBreak/>
              <w:t xml:space="preserve">Approval </w:t>
            </w:r>
          </w:p>
        </w:tc>
        <w:tc>
          <w:tcPr>
            <w:tcW w:w="2310" w:type="dxa"/>
          </w:tcPr>
          <w:p w14:paraId="24691371" w14:textId="015FC2C5" w:rsidR="003A5B60" w:rsidRPr="003F4DE0" w:rsidRDefault="003A5B60" w:rsidP="00B16C5D">
            <w:pPr>
              <w:jc w:val="center"/>
              <w:cnfStyle w:val="000000000000" w:firstRow="0" w:lastRow="0" w:firstColumn="0" w:lastColumn="0" w:oddVBand="0" w:evenVBand="0" w:oddHBand="0" w:evenHBand="0" w:firstRowFirstColumn="0" w:firstRowLastColumn="0" w:lastRowFirstColumn="0" w:lastRowLastColumn="0"/>
            </w:pPr>
            <w:r w:rsidRPr="003F4DE0">
              <w:t>Academic Dean</w:t>
            </w:r>
          </w:p>
        </w:tc>
        <w:tc>
          <w:tcPr>
            <w:tcW w:w="2310" w:type="dxa"/>
          </w:tcPr>
          <w:p w14:paraId="6E1B919E" w14:textId="6EC01DA3" w:rsidR="003A5B60" w:rsidRPr="003F4DE0" w:rsidRDefault="003A5B60" w:rsidP="00B16C5D">
            <w:pPr>
              <w:jc w:val="center"/>
              <w:cnfStyle w:val="000000000000" w:firstRow="0" w:lastRow="0" w:firstColumn="0" w:lastColumn="0" w:oddVBand="0" w:evenVBand="0" w:oddHBand="0" w:evenHBand="0" w:firstRowFirstColumn="0" w:firstRowLastColumn="0" w:lastRowFirstColumn="0" w:lastRowLastColumn="0"/>
            </w:pPr>
            <w:r w:rsidRPr="003F4DE0">
              <w:t>Academic Board on recommendation of Academic Dean</w:t>
            </w:r>
          </w:p>
        </w:tc>
        <w:tc>
          <w:tcPr>
            <w:tcW w:w="2310" w:type="dxa"/>
          </w:tcPr>
          <w:p w14:paraId="32AE43C0" w14:textId="71153035" w:rsidR="003A5B60" w:rsidRPr="003F4DE0" w:rsidRDefault="003A5B60" w:rsidP="00B16C5D">
            <w:pPr>
              <w:jc w:val="center"/>
              <w:cnfStyle w:val="000000000000" w:firstRow="0" w:lastRow="0" w:firstColumn="0" w:lastColumn="0" w:oddVBand="0" w:evenVBand="0" w:oddHBand="0" w:evenHBand="0" w:firstRowFirstColumn="0" w:firstRowLastColumn="0" w:lastRowFirstColumn="0" w:lastRowLastColumn="0"/>
            </w:pPr>
            <w:r w:rsidRPr="003F4DE0">
              <w:t>Academic Board on recommendation of Academic Dean</w:t>
            </w:r>
          </w:p>
        </w:tc>
      </w:tr>
    </w:tbl>
    <w:p w14:paraId="1EE8BBD8" w14:textId="77777777" w:rsidR="00B16C5D" w:rsidRPr="003F4DE0" w:rsidRDefault="00B16C5D" w:rsidP="00B16C5D">
      <w:pPr>
        <w:spacing w:after="0" w:line="240" w:lineRule="auto"/>
        <w:ind w:left="360" w:firstLine="90"/>
        <w:jc w:val="both"/>
      </w:pPr>
    </w:p>
    <w:p w14:paraId="19E4E97E" w14:textId="77777777" w:rsidR="003A5B60" w:rsidRPr="003F4DE0" w:rsidRDefault="003A5B60" w:rsidP="00B16C5D">
      <w:pPr>
        <w:pStyle w:val="ListParagraph"/>
        <w:numPr>
          <w:ilvl w:val="0"/>
          <w:numId w:val="47"/>
        </w:numPr>
        <w:autoSpaceDE w:val="0"/>
        <w:autoSpaceDN w:val="0"/>
        <w:adjustRightInd w:val="0"/>
        <w:spacing w:after="0" w:line="240" w:lineRule="auto"/>
        <w:contextualSpacing w:val="0"/>
        <w:jc w:val="both"/>
        <w:rPr>
          <w:rFonts w:cs="Arial"/>
          <w:vanish/>
          <w:color w:val="000000"/>
        </w:rPr>
      </w:pPr>
    </w:p>
    <w:p w14:paraId="53676429" w14:textId="77777777" w:rsidR="003A5B60" w:rsidRPr="003F4DE0" w:rsidRDefault="003A5B60" w:rsidP="00B16C5D">
      <w:pPr>
        <w:pStyle w:val="ListParagraph"/>
        <w:numPr>
          <w:ilvl w:val="1"/>
          <w:numId w:val="47"/>
        </w:numPr>
        <w:autoSpaceDE w:val="0"/>
        <w:autoSpaceDN w:val="0"/>
        <w:adjustRightInd w:val="0"/>
        <w:spacing w:after="0" w:line="240" w:lineRule="auto"/>
        <w:contextualSpacing w:val="0"/>
        <w:jc w:val="both"/>
        <w:rPr>
          <w:rFonts w:cs="Arial"/>
          <w:vanish/>
          <w:color w:val="000000"/>
        </w:rPr>
      </w:pPr>
    </w:p>
    <w:p w14:paraId="303D828A" w14:textId="77777777" w:rsidR="003A5B60" w:rsidRPr="003F4DE0" w:rsidRDefault="003A5B60" w:rsidP="00B16C5D">
      <w:pPr>
        <w:pStyle w:val="ListParagraph"/>
        <w:numPr>
          <w:ilvl w:val="1"/>
          <w:numId w:val="47"/>
        </w:numPr>
        <w:autoSpaceDE w:val="0"/>
        <w:autoSpaceDN w:val="0"/>
        <w:adjustRightInd w:val="0"/>
        <w:spacing w:after="0" w:line="240" w:lineRule="auto"/>
        <w:contextualSpacing w:val="0"/>
        <w:jc w:val="both"/>
        <w:rPr>
          <w:rFonts w:cs="Arial"/>
          <w:vanish/>
          <w:color w:val="000000"/>
        </w:rPr>
      </w:pPr>
    </w:p>
    <w:p w14:paraId="42C5ADE4" w14:textId="241BE671" w:rsidR="003A5B60" w:rsidRPr="003F4DE0" w:rsidRDefault="003A5B60" w:rsidP="00B16C5D">
      <w:pPr>
        <w:pStyle w:val="Default"/>
        <w:numPr>
          <w:ilvl w:val="1"/>
          <w:numId w:val="47"/>
        </w:numPr>
        <w:ind w:left="450"/>
        <w:jc w:val="both"/>
        <w:rPr>
          <w:rFonts w:ascii="Garamond" w:hAnsi="Garamond"/>
          <w:color w:val="auto"/>
          <w:sz w:val="22"/>
          <w:szCs w:val="22"/>
        </w:rPr>
      </w:pPr>
      <w:r w:rsidRPr="003F4DE0">
        <w:rPr>
          <w:rFonts w:ascii="Garamond" w:hAnsi="Garamond"/>
          <w:sz w:val="22"/>
          <w:szCs w:val="22"/>
        </w:rPr>
        <w:t>Articulation and Transition Agreements</w:t>
      </w:r>
    </w:p>
    <w:p w14:paraId="162AB922" w14:textId="0711C24F" w:rsidR="003A5B60" w:rsidRPr="003F4DE0" w:rsidRDefault="003A5B60" w:rsidP="00B16C5D">
      <w:pPr>
        <w:pStyle w:val="Default"/>
        <w:numPr>
          <w:ilvl w:val="2"/>
          <w:numId w:val="47"/>
        </w:numPr>
        <w:tabs>
          <w:tab w:val="left" w:pos="1170"/>
        </w:tabs>
        <w:ind w:left="1170"/>
        <w:jc w:val="both"/>
        <w:rPr>
          <w:rFonts w:ascii="Garamond" w:hAnsi="Garamond"/>
          <w:color w:val="auto"/>
          <w:sz w:val="22"/>
          <w:szCs w:val="22"/>
        </w:rPr>
      </w:pPr>
      <w:r w:rsidRPr="003F4DE0">
        <w:rPr>
          <w:rFonts w:ascii="Garamond" w:hAnsi="Garamond"/>
          <w:sz w:val="22"/>
          <w:szCs w:val="22"/>
        </w:rPr>
        <w:t>Agreements (ongoing or one</w:t>
      </w:r>
      <w:r w:rsidR="00CC5BFC" w:rsidRPr="003F4DE0">
        <w:rPr>
          <w:rFonts w:ascii="Garamond" w:hAnsi="Garamond"/>
          <w:sz w:val="22"/>
          <w:szCs w:val="22"/>
        </w:rPr>
        <w:t>-</w:t>
      </w:r>
      <w:r w:rsidRPr="003F4DE0">
        <w:rPr>
          <w:rFonts w:ascii="Garamond" w:hAnsi="Garamond"/>
          <w:sz w:val="22"/>
          <w:szCs w:val="22"/>
        </w:rPr>
        <w:t xml:space="preserve">off) may be established with other selected education providers in order for the Institute to provide learning pathways for students to continue their educational career paths.  These agreements will assist students who have previously </w:t>
      </w:r>
      <w:r w:rsidRPr="003F4DE0">
        <w:rPr>
          <w:rFonts w:ascii="Garamond" w:hAnsi="Garamond"/>
          <w:color w:val="auto"/>
          <w:sz w:val="22"/>
          <w:szCs w:val="22"/>
        </w:rPr>
        <w:t xml:space="preserve">successfully completed equivalent studies and who meet the relevant admission requirements. These agreements may specify credit for one or more </w:t>
      </w:r>
      <w:r w:rsidR="000E391E" w:rsidRPr="003F4DE0">
        <w:rPr>
          <w:rFonts w:ascii="Garamond" w:hAnsi="Garamond"/>
          <w:color w:val="auto"/>
          <w:sz w:val="22"/>
          <w:szCs w:val="22"/>
        </w:rPr>
        <w:t xml:space="preserve">units </w:t>
      </w:r>
      <w:r w:rsidRPr="003F4DE0">
        <w:rPr>
          <w:rFonts w:ascii="Garamond" w:hAnsi="Garamond"/>
          <w:color w:val="auto"/>
          <w:sz w:val="22"/>
          <w:szCs w:val="22"/>
        </w:rPr>
        <w:t>(block credit).</w:t>
      </w:r>
    </w:p>
    <w:p w14:paraId="000D0F84" w14:textId="77777777" w:rsidR="003A5B60" w:rsidRPr="003F4DE0" w:rsidRDefault="003A5B60" w:rsidP="00B16C5D">
      <w:pPr>
        <w:pStyle w:val="Default"/>
        <w:numPr>
          <w:ilvl w:val="2"/>
          <w:numId w:val="47"/>
        </w:numPr>
        <w:tabs>
          <w:tab w:val="left" w:pos="1170"/>
        </w:tabs>
        <w:ind w:left="1170"/>
        <w:jc w:val="both"/>
        <w:rPr>
          <w:rFonts w:ascii="Garamond" w:hAnsi="Garamond"/>
          <w:sz w:val="22"/>
          <w:szCs w:val="22"/>
        </w:rPr>
      </w:pPr>
      <w:r w:rsidRPr="003F4DE0">
        <w:rPr>
          <w:rFonts w:ascii="Garamond" w:hAnsi="Garamond"/>
          <w:sz w:val="22"/>
          <w:szCs w:val="22"/>
        </w:rPr>
        <w:t>Where such an agreement is ongoing it will be formally documented and promoted as an Articulation Agreement.</w:t>
      </w:r>
    </w:p>
    <w:p w14:paraId="62A4F02D" w14:textId="4F57FDE1" w:rsidR="003A5B60" w:rsidRPr="003F4DE0" w:rsidRDefault="003A5B60" w:rsidP="00B16C5D">
      <w:pPr>
        <w:pStyle w:val="Default"/>
        <w:numPr>
          <w:ilvl w:val="2"/>
          <w:numId w:val="47"/>
        </w:numPr>
        <w:tabs>
          <w:tab w:val="left" w:pos="1170"/>
        </w:tabs>
        <w:ind w:left="1170"/>
        <w:jc w:val="both"/>
        <w:rPr>
          <w:rFonts w:ascii="Garamond" w:hAnsi="Garamond"/>
          <w:sz w:val="22"/>
          <w:szCs w:val="22"/>
        </w:rPr>
      </w:pPr>
      <w:r w:rsidRPr="003F4DE0">
        <w:rPr>
          <w:rFonts w:ascii="Garamond" w:hAnsi="Garamond"/>
          <w:sz w:val="22"/>
          <w:szCs w:val="22"/>
        </w:rPr>
        <w:t>Where such an agreement is “one</w:t>
      </w:r>
      <w:r w:rsidR="000E391E" w:rsidRPr="003F4DE0">
        <w:rPr>
          <w:rFonts w:ascii="Garamond" w:hAnsi="Garamond"/>
          <w:sz w:val="22"/>
          <w:szCs w:val="22"/>
        </w:rPr>
        <w:t>-</w:t>
      </w:r>
      <w:r w:rsidRPr="003F4DE0">
        <w:rPr>
          <w:rFonts w:ascii="Garamond" w:hAnsi="Garamond"/>
          <w:sz w:val="22"/>
          <w:szCs w:val="22"/>
        </w:rPr>
        <w:t>off” e.g</w:t>
      </w:r>
      <w:r w:rsidR="000E391E" w:rsidRPr="003F4DE0">
        <w:rPr>
          <w:rFonts w:ascii="Garamond" w:hAnsi="Garamond"/>
          <w:sz w:val="22"/>
          <w:szCs w:val="22"/>
        </w:rPr>
        <w:t>.,</w:t>
      </w:r>
      <w:r w:rsidRPr="003F4DE0">
        <w:rPr>
          <w:rFonts w:ascii="Garamond" w:hAnsi="Garamond"/>
          <w:sz w:val="22"/>
          <w:szCs w:val="22"/>
        </w:rPr>
        <w:t xml:space="preserve"> recognising the previous studies of students whose initial provider is no longer able to provide the relevant course and/or ceased operations, it will be documented as a Transition Agreement. </w:t>
      </w:r>
    </w:p>
    <w:p w14:paraId="0A206A35" w14:textId="4BA6828E" w:rsidR="003A5B60" w:rsidRPr="003F4DE0" w:rsidRDefault="003A5B60" w:rsidP="00B16C5D">
      <w:pPr>
        <w:pStyle w:val="Default"/>
        <w:numPr>
          <w:ilvl w:val="2"/>
          <w:numId w:val="47"/>
        </w:numPr>
        <w:tabs>
          <w:tab w:val="left" w:pos="1170"/>
        </w:tabs>
        <w:ind w:left="1170"/>
        <w:jc w:val="both"/>
        <w:rPr>
          <w:rFonts w:ascii="Garamond" w:hAnsi="Garamond"/>
          <w:sz w:val="22"/>
          <w:szCs w:val="22"/>
        </w:rPr>
      </w:pPr>
      <w:r w:rsidRPr="003F4DE0">
        <w:rPr>
          <w:rFonts w:ascii="Garamond" w:hAnsi="Garamond"/>
          <w:sz w:val="22"/>
          <w:szCs w:val="22"/>
        </w:rPr>
        <w:t xml:space="preserve">The Academic Board approves all proposed Articulation/Transition Agreements. </w:t>
      </w:r>
    </w:p>
    <w:p w14:paraId="6C9C9619" w14:textId="77777777" w:rsidR="00687938" w:rsidRPr="003F4DE0" w:rsidRDefault="00687938" w:rsidP="00B16C5D">
      <w:pPr>
        <w:spacing w:after="0" w:line="240" w:lineRule="auto"/>
      </w:pPr>
    </w:p>
    <w:p w14:paraId="4E3739B0" w14:textId="27327CFE" w:rsidR="00687938" w:rsidRPr="003F4DE0" w:rsidRDefault="00796BD6" w:rsidP="00B16C5D">
      <w:pPr>
        <w:pStyle w:val="Heading2"/>
        <w:spacing w:before="0" w:line="240" w:lineRule="auto"/>
        <w:ind w:left="425" w:hanging="425"/>
        <w:jc w:val="both"/>
        <w:rPr>
          <w:sz w:val="22"/>
          <w:szCs w:val="22"/>
        </w:rPr>
      </w:pPr>
      <w:r w:rsidRPr="003F4DE0">
        <w:rPr>
          <w:sz w:val="22"/>
          <w:szCs w:val="22"/>
        </w:rPr>
        <w:t>5</w:t>
      </w:r>
      <w:r w:rsidR="005607E2" w:rsidRPr="003F4DE0">
        <w:rPr>
          <w:sz w:val="22"/>
          <w:szCs w:val="22"/>
        </w:rPr>
        <w:t>.</w:t>
      </w:r>
      <w:r w:rsidR="005607E2" w:rsidRPr="003F4DE0">
        <w:rPr>
          <w:sz w:val="22"/>
          <w:szCs w:val="22"/>
        </w:rPr>
        <w:tab/>
      </w:r>
      <w:r w:rsidR="00687938" w:rsidRPr="003F4DE0">
        <w:rPr>
          <w:sz w:val="22"/>
          <w:szCs w:val="22"/>
        </w:rPr>
        <w:t>A</w:t>
      </w:r>
      <w:r w:rsidR="00043293" w:rsidRPr="003F4DE0">
        <w:rPr>
          <w:sz w:val="22"/>
          <w:szCs w:val="22"/>
        </w:rPr>
        <w:t>PPEALS</w:t>
      </w:r>
    </w:p>
    <w:p w14:paraId="37ACF17A" w14:textId="77777777" w:rsidR="00687938" w:rsidRPr="003F4DE0" w:rsidRDefault="00687938" w:rsidP="00B16C5D">
      <w:pPr>
        <w:spacing w:after="0" w:line="240" w:lineRule="auto"/>
        <w:jc w:val="both"/>
      </w:pPr>
      <w:r w:rsidRPr="003F4DE0">
        <w:t xml:space="preserve">An applicant may appeal a credit assessment by way of written notice to the </w:t>
      </w:r>
      <w:r w:rsidR="007C5FA1" w:rsidRPr="003F4DE0">
        <w:t>Academic Dean</w:t>
      </w:r>
      <w:r w:rsidRPr="003F4DE0">
        <w:t xml:space="preserve"> within 5 working days of the receipt of the initial credit assessment outcome.</w:t>
      </w:r>
    </w:p>
    <w:p w14:paraId="00B89550" w14:textId="16CCDE24" w:rsidR="00687938" w:rsidRPr="003F4DE0" w:rsidRDefault="00796BD6" w:rsidP="00B16C5D">
      <w:pPr>
        <w:spacing w:after="0" w:line="240" w:lineRule="auto"/>
        <w:ind w:left="426" w:hanging="426"/>
        <w:jc w:val="both"/>
      </w:pPr>
      <w:r w:rsidRPr="003F4DE0">
        <w:t>5</w:t>
      </w:r>
      <w:r w:rsidR="005814B9" w:rsidRPr="003F4DE0">
        <w:t>.</w:t>
      </w:r>
      <w:r w:rsidR="005607E2" w:rsidRPr="003F4DE0">
        <w:t>1</w:t>
      </w:r>
      <w:r w:rsidR="00687938" w:rsidRPr="003F4DE0">
        <w:tab/>
        <w:t>The grounds for appeal are limited to:</w:t>
      </w:r>
    </w:p>
    <w:p w14:paraId="4444D62F" w14:textId="77777777" w:rsidR="00687938" w:rsidRPr="003F4DE0" w:rsidRDefault="00687938" w:rsidP="00B16C5D">
      <w:pPr>
        <w:spacing w:after="0" w:line="240" w:lineRule="auto"/>
        <w:ind w:left="993" w:hanging="426"/>
        <w:jc w:val="both"/>
      </w:pPr>
      <w:r w:rsidRPr="003F4DE0">
        <w:t xml:space="preserve">[1] </w:t>
      </w:r>
      <w:r w:rsidR="005607E2" w:rsidRPr="003F4DE0">
        <w:tab/>
      </w:r>
      <w:r w:rsidRPr="003F4DE0">
        <w:t>New evidence which was not available at the time of the original application; and</w:t>
      </w:r>
    </w:p>
    <w:p w14:paraId="1FD9A4CA" w14:textId="77777777" w:rsidR="002A2C50" w:rsidRPr="003F4DE0" w:rsidRDefault="00687938" w:rsidP="00B16C5D">
      <w:pPr>
        <w:spacing w:after="0" w:line="240" w:lineRule="auto"/>
        <w:ind w:left="993" w:hanging="426"/>
        <w:jc w:val="both"/>
        <w:rPr>
          <w:color w:val="000000"/>
        </w:rPr>
      </w:pPr>
      <w:r w:rsidRPr="003F4DE0">
        <w:t xml:space="preserve">[2] </w:t>
      </w:r>
      <w:r w:rsidR="005607E2" w:rsidRPr="003F4DE0">
        <w:tab/>
      </w:r>
      <w:r w:rsidR="002A2C50" w:rsidRPr="003F4DE0">
        <w:rPr>
          <w:color w:val="000000"/>
        </w:rPr>
        <w:t>The initial assessment was in breach of the</w:t>
      </w:r>
      <w:r w:rsidR="002A2C50" w:rsidRPr="003F4DE0">
        <w:rPr>
          <w:rStyle w:val="Emphasis"/>
          <w:color w:val="000000"/>
        </w:rPr>
        <w:t xml:space="preserve"> </w:t>
      </w:r>
      <w:r w:rsidR="002A2C50" w:rsidRPr="003F4DE0">
        <w:t>Credit Tra</w:t>
      </w:r>
      <w:r w:rsidR="0065030D" w:rsidRPr="003F4DE0">
        <w:t xml:space="preserve">nsfer and Articulation Policy </w:t>
      </w:r>
      <w:r w:rsidR="002A2C50" w:rsidRPr="003F4DE0">
        <w:rPr>
          <w:color w:val="000000"/>
        </w:rPr>
        <w:t>(</w:t>
      </w:r>
      <w:r w:rsidR="00980748" w:rsidRPr="003F4DE0">
        <w:rPr>
          <w:color w:val="000000"/>
        </w:rPr>
        <w:t xml:space="preserve">this </w:t>
      </w:r>
      <w:r w:rsidR="002A2C50" w:rsidRPr="003F4DE0">
        <w:rPr>
          <w:color w:val="000000"/>
        </w:rPr>
        <w:t>must be supported by specific examples).</w:t>
      </w:r>
    </w:p>
    <w:p w14:paraId="7B93A4E8" w14:textId="49411842" w:rsidR="00B4759D" w:rsidRPr="003F4DE0" w:rsidRDefault="00796BD6" w:rsidP="00B16C5D">
      <w:pPr>
        <w:spacing w:after="0" w:line="240" w:lineRule="auto"/>
        <w:ind w:left="426" w:hanging="426"/>
        <w:jc w:val="both"/>
        <w:rPr>
          <w:color w:val="000000"/>
        </w:rPr>
      </w:pPr>
      <w:r w:rsidRPr="003F4DE0">
        <w:rPr>
          <w:color w:val="000000"/>
        </w:rPr>
        <w:t>5</w:t>
      </w:r>
      <w:r w:rsidR="00B4759D" w:rsidRPr="003F4DE0">
        <w:rPr>
          <w:color w:val="000000"/>
        </w:rPr>
        <w:t>.2</w:t>
      </w:r>
      <w:r w:rsidR="00B4759D" w:rsidRPr="003F4DE0">
        <w:rPr>
          <w:color w:val="000000"/>
        </w:rPr>
        <w:tab/>
        <w:t xml:space="preserve">The </w:t>
      </w:r>
      <w:r w:rsidR="007C5FA1" w:rsidRPr="003F4DE0">
        <w:rPr>
          <w:color w:val="000000"/>
        </w:rPr>
        <w:t>Academic Dean</w:t>
      </w:r>
      <w:r w:rsidR="00B4759D" w:rsidRPr="003F4DE0">
        <w:rPr>
          <w:color w:val="000000"/>
        </w:rPr>
        <w:t xml:space="preserve"> may re-assess the application for credit based on either of the grounds listed in </w:t>
      </w:r>
      <w:r w:rsidR="003F664E" w:rsidRPr="003F4DE0">
        <w:rPr>
          <w:color w:val="000000"/>
        </w:rPr>
        <w:t>5</w:t>
      </w:r>
      <w:r w:rsidR="00986E1B" w:rsidRPr="003F4DE0">
        <w:rPr>
          <w:color w:val="000000"/>
        </w:rPr>
        <w:t>.1.</w:t>
      </w:r>
    </w:p>
    <w:p w14:paraId="6A2A5C14" w14:textId="3BE31823" w:rsidR="00B4759D" w:rsidRPr="003F4DE0" w:rsidRDefault="003F664E" w:rsidP="00B16C5D">
      <w:pPr>
        <w:spacing w:after="0" w:line="240" w:lineRule="auto"/>
        <w:ind w:left="426" w:hanging="426"/>
        <w:jc w:val="both"/>
        <w:rPr>
          <w:color w:val="000000"/>
        </w:rPr>
      </w:pPr>
      <w:r w:rsidRPr="003F4DE0">
        <w:rPr>
          <w:color w:val="000000"/>
        </w:rPr>
        <w:t>5</w:t>
      </w:r>
      <w:r w:rsidR="00B4759D" w:rsidRPr="003F4DE0">
        <w:rPr>
          <w:color w:val="000000"/>
        </w:rPr>
        <w:t>.3</w:t>
      </w:r>
      <w:r w:rsidR="00B4759D" w:rsidRPr="003F4DE0">
        <w:rPr>
          <w:color w:val="000000"/>
        </w:rPr>
        <w:tab/>
        <w:t xml:space="preserve">If an applicant is not satisfied with the outcome of the appeal to the </w:t>
      </w:r>
      <w:r w:rsidR="007C5FA1" w:rsidRPr="003F4DE0">
        <w:rPr>
          <w:color w:val="000000"/>
        </w:rPr>
        <w:t>Academic Dean</w:t>
      </w:r>
      <w:r w:rsidR="00B4759D" w:rsidRPr="003F4DE0">
        <w:rPr>
          <w:color w:val="000000"/>
        </w:rPr>
        <w:t xml:space="preserve">, </w:t>
      </w:r>
      <w:r w:rsidR="007C74F6" w:rsidRPr="003F4DE0">
        <w:rPr>
          <w:color w:val="000000"/>
        </w:rPr>
        <w:t xml:space="preserve">he/she </w:t>
      </w:r>
      <w:r w:rsidR="00B4759D" w:rsidRPr="003F4DE0">
        <w:rPr>
          <w:color w:val="000000"/>
        </w:rPr>
        <w:t xml:space="preserve">may appeal to </w:t>
      </w:r>
      <w:r w:rsidR="00980748" w:rsidRPr="003F4DE0">
        <w:rPr>
          <w:color w:val="000000"/>
        </w:rPr>
        <w:t xml:space="preserve">the </w:t>
      </w:r>
      <w:r w:rsidR="00B70DD9" w:rsidRPr="003F4DE0">
        <w:rPr>
          <w:color w:val="000000"/>
        </w:rPr>
        <w:t>Student</w:t>
      </w:r>
      <w:r w:rsidR="007C74F6" w:rsidRPr="003F4DE0">
        <w:rPr>
          <w:color w:val="000000"/>
        </w:rPr>
        <w:t xml:space="preserve"> </w:t>
      </w:r>
      <w:r w:rsidR="003A5B60" w:rsidRPr="003F4DE0">
        <w:rPr>
          <w:color w:val="000000"/>
        </w:rPr>
        <w:t xml:space="preserve">Discipline </w:t>
      </w:r>
      <w:r w:rsidR="00B70DD9" w:rsidRPr="003F4DE0">
        <w:rPr>
          <w:color w:val="000000"/>
        </w:rPr>
        <w:t>and Appeals Committee</w:t>
      </w:r>
      <w:r w:rsidR="00B4759D" w:rsidRPr="003F4DE0">
        <w:rPr>
          <w:color w:val="000000"/>
        </w:rPr>
        <w:t xml:space="preserve"> in accordance with the prov</w:t>
      </w:r>
      <w:r w:rsidR="00980748" w:rsidRPr="003F4DE0">
        <w:rPr>
          <w:color w:val="000000"/>
        </w:rPr>
        <w:t>isions of the Academic Appeals P</w:t>
      </w:r>
      <w:r w:rsidR="00B4759D" w:rsidRPr="003F4DE0">
        <w:rPr>
          <w:color w:val="000000"/>
        </w:rPr>
        <w:t>olicy. The grounds for the app</w:t>
      </w:r>
      <w:r w:rsidR="002B3FD6" w:rsidRPr="003F4DE0">
        <w:rPr>
          <w:color w:val="000000"/>
        </w:rPr>
        <w:t>e</w:t>
      </w:r>
      <w:r w:rsidR="00B4759D" w:rsidRPr="003F4DE0">
        <w:rPr>
          <w:color w:val="000000"/>
        </w:rPr>
        <w:t>al are limited to</w:t>
      </w:r>
      <w:r w:rsidR="003D19CD" w:rsidRPr="003F4DE0">
        <w:rPr>
          <w:color w:val="000000"/>
        </w:rPr>
        <w:t xml:space="preserve"> the following</w:t>
      </w:r>
      <w:r w:rsidR="00B4759D" w:rsidRPr="003F4DE0">
        <w:rPr>
          <w:color w:val="000000"/>
        </w:rPr>
        <w:t>:</w:t>
      </w:r>
    </w:p>
    <w:p w14:paraId="761B5895" w14:textId="77777777" w:rsidR="00B4759D" w:rsidRPr="003F4DE0" w:rsidRDefault="00B4759D" w:rsidP="00B16C5D">
      <w:pPr>
        <w:spacing w:after="0" w:line="240" w:lineRule="auto"/>
        <w:ind w:left="993" w:hanging="426"/>
        <w:jc w:val="both"/>
        <w:rPr>
          <w:color w:val="000000"/>
        </w:rPr>
      </w:pPr>
      <w:r w:rsidRPr="003F4DE0">
        <w:rPr>
          <w:color w:val="000000"/>
        </w:rPr>
        <w:t>[1]</w:t>
      </w:r>
      <w:r w:rsidRPr="003F4DE0">
        <w:rPr>
          <w:color w:val="000000"/>
        </w:rPr>
        <w:tab/>
      </w:r>
      <w:r w:rsidR="002B3FD6" w:rsidRPr="003F4DE0">
        <w:rPr>
          <w:color w:val="000000"/>
        </w:rPr>
        <w:t xml:space="preserve">The </w:t>
      </w:r>
      <w:r w:rsidR="007C5FA1" w:rsidRPr="003F4DE0">
        <w:rPr>
          <w:color w:val="000000"/>
        </w:rPr>
        <w:t>Academic Dean</w:t>
      </w:r>
      <w:r w:rsidR="002B3FD6" w:rsidRPr="003F4DE0">
        <w:rPr>
          <w:color w:val="000000"/>
        </w:rPr>
        <w:t xml:space="preserve"> failed to take into account any new evidence presented which was not available at the time of the original application; and</w:t>
      </w:r>
    </w:p>
    <w:p w14:paraId="6FCB8BE6" w14:textId="77777777" w:rsidR="00043293" w:rsidRPr="003F4DE0" w:rsidRDefault="00043293" w:rsidP="00B16C5D">
      <w:pPr>
        <w:pStyle w:val="Heading2"/>
        <w:spacing w:before="0" w:line="240" w:lineRule="auto"/>
        <w:rPr>
          <w:rFonts w:eastAsiaTheme="minorEastAsia" w:cstheme="minorBidi"/>
          <w:b w:val="0"/>
          <w:bCs w:val="0"/>
          <w:sz w:val="22"/>
          <w:szCs w:val="22"/>
        </w:rPr>
      </w:pPr>
    </w:p>
    <w:p w14:paraId="6324F34D" w14:textId="19720E53" w:rsidR="00043293" w:rsidRPr="003F4DE0" w:rsidRDefault="00043293" w:rsidP="00B16C5D">
      <w:pPr>
        <w:pStyle w:val="Heading2"/>
        <w:numPr>
          <w:ilvl w:val="0"/>
          <w:numId w:val="48"/>
        </w:numPr>
        <w:spacing w:before="0" w:line="240" w:lineRule="auto"/>
        <w:rPr>
          <w:rFonts w:cs="Arial"/>
          <w:sz w:val="22"/>
          <w:szCs w:val="22"/>
        </w:rPr>
      </w:pPr>
      <w:r w:rsidRPr="003F4DE0">
        <w:rPr>
          <w:rFonts w:cs="Arial"/>
          <w:sz w:val="22"/>
          <w:szCs w:val="22"/>
        </w:rPr>
        <w:t xml:space="preserve">QUALITY ASSURANCE </w:t>
      </w:r>
    </w:p>
    <w:p w14:paraId="1B96A9FD" w14:textId="77777777" w:rsidR="00043293" w:rsidRPr="003F4DE0" w:rsidRDefault="00043293" w:rsidP="00B16C5D">
      <w:pPr>
        <w:spacing w:after="0" w:line="240" w:lineRule="auto"/>
      </w:pPr>
      <w:r w:rsidRPr="003F4DE0">
        <w:t>To ensure that this policy is fit for purpose and meet the requirements of the HES Threshold Standards the policy will be;</w:t>
      </w:r>
    </w:p>
    <w:p w14:paraId="7E0420A7" w14:textId="559FB2DA" w:rsidR="00043293" w:rsidRPr="003F4DE0" w:rsidRDefault="00043293" w:rsidP="00B16C5D">
      <w:pPr>
        <w:pStyle w:val="Default"/>
        <w:numPr>
          <w:ilvl w:val="1"/>
          <w:numId w:val="48"/>
        </w:numPr>
        <w:ind w:left="284" w:hanging="284"/>
        <w:rPr>
          <w:rFonts w:ascii="Garamond" w:hAnsi="Garamond"/>
          <w:sz w:val="22"/>
          <w:szCs w:val="22"/>
        </w:rPr>
      </w:pPr>
      <w:r w:rsidRPr="003F4DE0">
        <w:rPr>
          <w:rFonts w:ascii="Garamond" w:hAnsi="Garamond"/>
          <w:sz w:val="22"/>
          <w:szCs w:val="22"/>
        </w:rPr>
        <w:t>i</w:t>
      </w:r>
      <w:r w:rsidR="00B16C5D" w:rsidRPr="003F4DE0">
        <w:rPr>
          <w:rFonts w:ascii="Garamond" w:hAnsi="Garamond"/>
          <w:sz w:val="22"/>
          <w:szCs w:val="22"/>
        </w:rPr>
        <w:t>nternally endorsed by the Executive</w:t>
      </w:r>
      <w:r w:rsidRPr="003F4DE0">
        <w:rPr>
          <w:rFonts w:ascii="Garamond" w:hAnsi="Garamond"/>
          <w:sz w:val="22"/>
          <w:szCs w:val="22"/>
        </w:rPr>
        <w:t xml:space="preserve"> Management</w:t>
      </w:r>
      <w:r w:rsidR="00B16C5D" w:rsidRPr="003F4DE0">
        <w:rPr>
          <w:rFonts w:ascii="Garamond" w:hAnsi="Garamond"/>
          <w:sz w:val="22"/>
          <w:szCs w:val="22"/>
        </w:rPr>
        <w:t xml:space="preserve"> Team</w:t>
      </w:r>
      <w:r w:rsidRPr="003F4DE0">
        <w:rPr>
          <w:rFonts w:ascii="Garamond" w:hAnsi="Garamond"/>
          <w:sz w:val="22"/>
          <w:szCs w:val="22"/>
        </w:rPr>
        <w:t xml:space="preserve"> on development or review, prior to approval by Governing Board, or the Academic Board or other delegated authority;</w:t>
      </w:r>
    </w:p>
    <w:p w14:paraId="7F65AD63" w14:textId="2CE98FD4" w:rsidR="00043293" w:rsidRPr="003F4DE0" w:rsidRDefault="00043293" w:rsidP="00B16C5D">
      <w:pPr>
        <w:pStyle w:val="Default"/>
        <w:numPr>
          <w:ilvl w:val="1"/>
          <w:numId w:val="48"/>
        </w:numPr>
        <w:ind w:left="284" w:hanging="284"/>
        <w:rPr>
          <w:rFonts w:ascii="Garamond" w:hAnsi="Garamond"/>
          <w:sz w:val="22"/>
          <w:szCs w:val="22"/>
        </w:rPr>
      </w:pPr>
      <w:r w:rsidRPr="003F4DE0">
        <w:rPr>
          <w:rFonts w:ascii="Garamond" w:hAnsi="Garamond"/>
          <w:sz w:val="22"/>
          <w:szCs w:val="22"/>
        </w:rPr>
        <w:t>externally reviewed as part of any independent review of the HES Threshold Standards approved by the Governing Board;</w:t>
      </w:r>
    </w:p>
    <w:p w14:paraId="7AB99F94" w14:textId="08034EAE" w:rsidR="00043293" w:rsidRPr="003F4DE0" w:rsidRDefault="00043293" w:rsidP="00B16C5D">
      <w:pPr>
        <w:pStyle w:val="Default"/>
        <w:numPr>
          <w:ilvl w:val="1"/>
          <w:numId w:val="48"/>
        </w:numPr>
        <w:ind w:left="284" w:hanging="284"/>
        <w:rPr>
          <w:rFonts w:ascii="Garamond" w:hAnsi="Garamond"/>
          <w:sz w:val="22"/>
          <w:szCs w:val="22"/>
        </w:rPr>
      </w:pPr>
      <w:r w:rsidRPr="003F4DE0">
        <w:rPr>
          <w:rFonts w:ascii="Garamond" w:hAnsi="Garamond"/>
          <w:sz w:val="22"/>
          <w:szCs w:val="22"/>
        </w:rPr>
        <w:t xml:space="preserve"> internally reviewed by the Responsible Officer every three years from the date of approval (if not  </w:t>
      </w:r>
      <w:r w:rsidR="003F664E" w:rsidRPr="003F4DE0">
        <w:rPr>
          <w:rFonts w:ascii="Garamond" w:hAnsi="Garamond"/>
          <w:sz w:val="22"/>
          <w:szCs w:val="22"/>
        </w:rPr>
        <w:t>earlier);</w:t>
      </w:r>
      <w:r w:rsidRPr="003F4DE0">
        <w:rPr>
          <w:rFonts w:ascii="Garamond" w:hAnsi="Garamond"/>
          <w:sz w:val="22"/>
          <w:szCs w:val="22"/>
        </w:rPr>
        <w:t xml:space="preserve">  </w:t>
      </w:r>
    </w:p>
    <w:p w14:paraId="3E2BF145" w14:textId="64536857" w:rsidR="00043293" w:rsidRPr="003F4DE0" w:rsidRDefault="00043293" w:rsidP="00B16C5D">
      <w:pPr>
        <w:pStyle w:val="Default"/>
        <w:numPr>
          <w:ilvl w:val="1"/>
          <w:numId w:val="48"/>
        </w:numPr>
        <w:ind w:left="284" w:hanging="284"/>
        <w:rPr>
          <w:rFonts w:ascii="Garamond" w:hAnsi="Garamond"/>
          <w:sz w:val="22"/>
          <w:szCs w:val="22"/>
        </w:rPr>
      </w:pPr>
      <w:r w:rsidRPr="003F4DE0">
        <w:rPr>
          <w:rFonts w:ascii="Garamond" w:hAnsi="Garamond"/>
          <w:sz w:val="22"/>
          <w:szCs w:val="22"/>
        </w:rPr>
        <w:t xml:space="preserve"> </w:t>
      </w:r>
      <w:proofErr w:type="gramStart"/>
      <w:r w:rsidRPr="003F4DE0">
        <w:rPr>
          <w:rFonts w:ascii="Garamond" w:hAnsi="Garamond"/>
          <w:sz w:val="22"/>
          <w:szCs w:val="22"/>
        </w:rPr>
        <w:t>referenced</w:t>
      </w:r>
      <w:proofErr w:type="gramEnd"/>
      <w:r w:rsidRPr="003F4DE0">
        <w:rPr>
          <w:rFonts w:ascii="Garamond" w:hAnsi="Garamond"/>
          <w:sz w:val="22"/>
          <w:szCs w:val="22"/>
        </w:rPr>
        <w:t xml:space="preserve"> to the applicable HES threshold Standard and/or other legislation/regulation.</w:t>
      </w:r>
    </w:p>
    <w:p w14:paraId="36D3AB53" w14:textId="77777777" w:rsidR="00043293" w:rsidRPr="003F4DE0" w:rsidRDefault="00043293" w:rsidP="00B16C5D">
      <w:pPr>
        <w:pStyle w:val="Default"/>
        <w:ind w:left="360"/>
        <w:rPr>
          <w:rFonts w:ascii="Garamond" w:hAnsi="Garamond"/>
          <w:sz w:val="22"/>
          <w:szCs w:val="22"/>
        </w:rPr>
      </w:pPr>
    </w:p>
    <w:p w14:paraId="71605F06" w14:textId="77777777" w:rsidR="00043293" w:rsidRPr="003F4DE0" w:rsidRDefault="00043293" w:rsidP="00B16C5D">
      <w:pPr>
        <w:pStyle w:val="Heading2"/>
        <w:numPr>
          <w:ilvl w:val="0"/>
          <w:numId w:val="48"/>
        </w:numPr>
        <w:spacing w:before="0" w:line="240" w:lineRule="auto"/>
        <w:ind w:left="284" w:hanging="284"/>
        <w:rPr>
          <w:rFonts w:cs="Arial"/>
          <w:sz w:val="22"/>
          <w:szCs w:val="22"/>
        </w:rPr>
      </w:pPr>
      <w:r w:rsidRPr="003F4DE0">
        <w:rPr>
          <w:rFonts w:cs="Arial"/>
          <w:sz w:val="22"/>
          <w:szCs w:val="22"/>
        </w:rPr>
        <w:t>FEEDBACK</w:t>
      </w:r>
    </w:p>
    <w:p w14:paraId="192A5B26" w14:textId="77777777" w:rsidR="00043293" w:rsidRPr="003F4DE0" w:rsidRDefault="00043293" w:rsidP="00B16C5D">
      <w:pPr>
        <w:spacing w:after="0" w:line="240" w:lineRule="auto"/>
      </w:pPr>
      <w:r w:rsidRPr="003F4DE0">
        <w:t xml:space="preserve">Feedback or comments on this policy is welcomed by the listed Responsible officers of the Institute. </w:t>
      </w:r>
    </w:p>
    <w:p w14:paraId="01EE22FC" w14:textId="77777777" w:rsidR="003F664E" w:rsidRPr="003F4DE0" w:rsidRDefault="003F664E" w:rsidP="00B16C5D">
      <w:pPr>
        <w:spacing w:after="0" w:line="240" w:lineRule="auto"/>
      </w:pPr>
    </w:p>
    <w:p w14:paraId="08F77EED" w14:textId="77777777" w:rsidR="00043293" w:rsidRPr="003F4DE0" w:rsidRDefault="00043293" w:rsidP="00B16C5D">
      <w:pPr>
        <w:pStyle w:val="Heading2"/>
        <w:numPr>
          <w:ilvl w:val="0"/>
          <w:numId w:val="48"/>
        </w:numPr>
        <w:spacing w:before="0" w:line="240" w:lineRule="auto"/>
        <w:ind w:left="284" w:hanging="284"/>
        <w:rPr>
          <w:rFonts w:cs="Arial"/>
          <w:sz w:val="22"/>
          <w:szCs w:val="22"/>
        </w:rPr>
      </w:pPr>
      <w:r w:rsidRPr="003F4DE0">
        <w:rPr>
          <w:rFonts w:cs="Arial"/>
          <w:sz w:val="22"/>
          <w:szCs w:val="22"/>
        </w:rPr>
        <w:t>ACKNOWLEDGEMENTS</w:t>
      </w:r>
    </w:p>
    <w:p w14:paraId="2F82A768" w14:textId="77777777" w:rsidR="00043293" w:rsidRPr="003F4DE0" w:rsidRDefault="00043293" w:rsidP="00B16C5D">
      <w:pPr>
        <w:spacing w:after="0" w:line="240" w:lineRule="auto"/>
      </w:pPr>
      <w:r w:rsidRPr="003F4DE0">
        <w:t>This policy has initially been developed with reference to the following institutions’ policies:</w:t>
      </w:r>
    </w:p>
    <w:p w14:paraId="37DB39AF" w14:textId="77777777" w:rsidR="00043293" w:rsidRPr="003F4DE0" w:rsidRDefault="00043293" w:rsidP="00B16C5D">
      <w:pPr>
        <w:spacing w:after="0" w:line="240" w:lineRule="auto"/>
      </w:pPr>
      <w:r w:rsidRPr="003F4DE0">
        <w:lastRenderedPageBreak/>
        <w:t xml:space="preserve">Avondale College of Higher Education, </w:t>
      </w:r>
      <w:r w:rsidRPr="003F4DE0">
        <w:rPr>
          <w:i/>
          <w:color w:val="000000"/>
          <w:kern w:val="36"/>
          <w:lang w:val="en"/>
        </w:rPr>
        <w:t>Advanced Standing and Credit Transfer</w:t>
      </w:r>
      <w:r w:rsidRPr="003F4DE0">
        <w:rPr>
          <w:color w:val="000000"/>
          <w:kern w:val="36"/>
          <w:lang w:val="en"/>
        </w:rPr>
        <w:t xml:space="preserve"> </w:t>
      </w:r>
      <w:r w:rsidRPr="003F4DE0">
        <w:rPr>
          <w:i/>
          <w:color w:val="000000"/>
          <w:kern w:val="36"/>
          <w:lang w:val="en"/>
        </w:rPr>
        <w:t>Policy</w:t>
      </w:r>
      <w:r w:rsidRPr="003F4DE0">
        <w:rPr>
          <w:color w:val="000000"/>
          <w:kern w:val="36"/>
          <w:lang w:val="en"/>
        </w:rPr>
        <w:t xml:space="preserve">, </w:t>
      </w:r>
      <w:r w:rsidRPr="003F4DE0">
        <w:t>November 2013</w:t>
      </w:r>
    </w:p>
    <w:p w14:paraId="0574BE3C" w14:textId="7040AF9C" w:rsidR="00043293" w:rsidRPr="003F4DE0" w:rsidRDefault="00043293" w:rsidP="00B16C5D">
      <w:pPr>
        <w:spacing w:after="0" w:line="240" w:lineRule="auto"/>
      </w:pPr>
      <w:r w:rsidRPr="003F4DE0">
        <w:t xml:space="preserve">Griffith University, </w:t>
      </w:r>
      <w:r w:rsidRPr="003F4DE0">
        <w:rPr>
          <w:i/>
        </w:rPr>
        <w:t>Credit Transfer Policy</w:t>
      </w:r>
      <w:r w:rsidRPr="003F4DE0">
        <w:t>, November 2013</w:t>
      </w:r>
    </w:p>
    <w:p w14:paraId="6ED6B961" w14:textId="77777777" w:rsidR="00043293" w:rsidRPr="003F4DE0" w:rsidRDefault="00043293" w:rsidP="00B16C5D">
      <w:pPr>
        <w:spacing w:after="0" w:line="240" w:lineRule="auto"/>
      </w:pPr>
    </w:p>
    <w:p w14:paraId="65BEBDE1" w14:textId="77777777" w:rsidR="00043293" w:rsidRPr="003F4DE0" w:rsidRDefault="00043293" w:rsidP="00B16C5D">
      <w:pPr>
        <w:pStyle w:val="Heading2"/>
        <w:numPr>
          <w:ilvl w:val="0"/>
          <w:numId w:val="48"/>
        </w:numPr>
        <w:spacing w:before="0" w:line="240" w:lineRule="auto"/>
        <w:ind w:left="284" w:hanging="284"/>
        <w:rPr>
          <w:rFonts w:cs="Arial"/>
          <w:sz w:val="22"/>
          <w:szCs w:val="22"/>
        </w:rPr>
      </w:pPr>
      <w:r w:rsidRPr="003F4DE0">
        <w:rPr>
          <w:rFonts w:cs="Arial"/>
          <w:sz w:val="22"/>
          <w:szCs w:val="22"/>
        </w:rPr>
        <w:t>VERSION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2237"/>
        <w:gridCol w:w="2250"/>
        <w:gridCol w:w="2242"/>
      </w:tblGrid>
      <w:tr w:rsidR="00043293" w:rsidRPr="003F4DE0" w14:paraId="41D0DA65" w14:textId="77777777" w:rsidTr="00B737B4">
        <w:tc>
          <w:tcPr>
            <w:tcW w:w="2287" w:type="dxa"/>
            <w:tcBorders>
              <w:top w:val="single" w:sz="4" w:space="0" w:color="auto"/>
              <w:left w:val="single" w:sz="4" w:space="0" w:color="auto"/>
              <w:bottom w:val="single" w:sz="4" w:space="0" w:color="auto"/>
              <w:right w:val="single" w:sz="4" w:space="0" w:color="auto"/>
            </w:tcBorders>
            <w:shd w:val="clear" w:color="auto" w:fill="auto"/>
            <w:hideMark/>
          </w:tcPr>
          <w:p w14:paraId="61873DCC" w14:textId="77777777" w:rsidR="00043293" w:rsidRPr="003F4DE0" w:rsidRDefault="00043293" w:rsidP="00B16C5D">
            <w:pPr>
              <w:autoSpaceDE w:val="0"/>
              <w:autoSpaceDN w:val="0"/>
              <w:adjustRightInd w:val="0"/>
              <w:spacing w:after="0" w:line="240" w:lineRule="auto"/>
              <w:rPr>
                <w:rFonts w:eastAsia="Calibri" w:cs="Arial"/>
                <w:color w:val="000000"/>
              </w:rPr>
            </w:pPr>
            <w:r w:rsidRPr="003F4DE0">
              <w:rPr>
                <w:rFonts w:eastAsia="Calibri" w:cs="Arial"/>
                <w:color w:val="000000"/>
              </w:rPr>
              <w:t xml:space="preserve">Version </w:t>
            </w:r>
          </w:p>
        </w:tc>
        <w:tc>
          <w:tcPr>
            <w:tcW w:w="2237" w:type="dxa"/>
            <w:tcBorders>
              <w:top w:val="single" w:sz="4" w:space="0" w:color="auto"/>
              <w:left w:val="single" w:sz="4" w:space="0" w:color="auto"/>
              <w:bottom w:val="single" w:sz="4" w:space="0" w:color="auto"/>
              <w:right w:val="single" w:sz="4" w:space="0" w:color="auto"/>
            </w:tcBorders>
            <w:shd w:val="clear" w:color="auto" w:fill="auto"/>
            <w:hideMark/>
          </w:tcPr>
          <w:p w14:paraId="1C5AABE1" w14:textId="77777777" w:rsidR="00043293" w:rsidRPr="003F4DE0" w:rsidRDefault="00043293" w:rsidP="00B16C5D">
            <w:pPr>
              <w:autoSpaceDE w:val="0"/>
              <w:autoSpaceDN w:val="0"/>
              <w:adjustRightInd w:val="0"/>
              <w:spacing w:after="0" w:line="240" w:lineRule="auto"/>
              <w:rPr>
                <w:rFonts w:eastAsia="Calibri" w:cs="Arial"/>
                <w:color w:val="000000"/>
              </w:rPr>
            </w:pPr>
            <w:r w:rsidRPr="003F4DE0">
              <w:rPr>
                <w:rFonts w:eastAsia="Calibri" w:cs="Arial"/>
                <w:color w:val="000000"/>
              </w:rPr>
              <w:t>Date approved</w:t>
            </w:r>
          </w:p>
        </w:tc>
        <w:tc>
          <w:tcPr>
            <w:tcW w:w="2250" w:type="dxa"/>
            <w:tcBorders>
              <w:top w:val="single" w:sz="4" w:space="0" w:color="auto"/>
              <w:left w:val="single" w:sz="4" w:space="0" w:color="auto"/>
              <w:bottom w:val="single" w:sz="4" w:space="0" w:color="auto"/>
              <w:right w:val="single" w:sz="4" w:space="0" w:color="auto"/>
            </w:tcBorders>
            <w:shd w:val="clear" w:color="auto" w:fill="auto"/>
            <w:hideMark/>
          </w:tcPr>
          <w:p w14:paraId="5D809860" w14:textId="77777777" w:rsidR="00043293" w:rsidRPr="003F4DE0" w:rsidRDefault="00043293" w:rsidP="00B16C5D">
            <w:pPr>
              <w:autoSpaceDE w:val="0"/>
              <w:autoSpaceDN w:val="0"/>
              <w:adjustRightInd w:val="0"/>
              <w:spacing w:after="0" w:line="240" w:lineRule="auto"/>
              <w:rPr>
                <w:rFonts w:eastAsia="Calibri" w:cs="Arial"/>
                <w:color w:val="000000"/>
              </w:rPr>
            </w:pPr>
            <w:r w:rsidRPr="003F4DE0">
              <w:rPr>
                <w:rFonts w:eastAsia="Calibri" w:cs="Arial"/>
                <w:color w:val="000000"/>
              </w:rPr>
              <w:t>Description</w:t>
            </w:r>
          </w:p>
        </w:tc>
        <w:tc>
          <w:tcPr>
            <w:tcW w:w="2242" w:type="dxa"/>
            <w:tcBorders>
              <w:top w:val="single" w:sz="4" w:space="0" w:color="auto"/>
              <w:left w:val="single" w:sz="4" w:space="0" w:color="auto"/>
              <w:bottom w:val="single" w:sz="4" w:space="0" w:color="auto"/>
              <w:right w:val="single" w:sz="4" w:space="0" w:color="auto"/>
            </w:tcBorders>
            <w:shd w:val="clear" w:color="auto" w:fill="auto"/>
            <w:hideMark/>
          </w:tcPr>
          <w:p w14:paraId="29627936" w14:textId="77777777" w:rsidR="00043293" w:rsidRPr="003F4DE0" w:rsidRDefault="00043293" w:rsidP="00B16C5D">
            <w:pPr>
              <w:autoSpaceDE w:val="0"/>
              <w:autoSpaceDN w:val="0"/>
              <w:adjustRightInd w:val="0"/>
              <w:spacing w:after="0" w:line="240" w:lineRule="auto"/>
              <w:rPr>
                <w:rFonts w:eastAsia="Calibri" w:cs="Arial"/>
                <w:color w:val="000000"/>
              </w:rPr>
            </w:pPr>
            <w:r w:rsidRPr="003F4DE0">
              <w:rPr>
                <w:rFonts w:eastAsia="Calibri" w:cs="Arial"/>
                <w:color w:val="000000"/>
              </w:rPr>
              <w:t>Approved by</w:t>
            </w:r>
          </w:p>
        </w:tc>
      </w:tr>
      <w:tr w:rsidR="00043293" w:rsidRPr="003F4DE0" w14:paraId="05352763" w14:textId="77777777" w:rsidTr="00043293">
        <w:tc>
          <w:tcPr>
            <w:tcW w:w="2287" w:type="dxa"/>
            <w:tcBorders>
              <w:top w:val="single" w:sz="4" w:space="0" w:color="auto"/>
              <w:left w:val="single" w:sz="4" w:space="0" w:color="auto"/>
              <w:bottom w:val="single" w:sz="4" w:space="0" w:color="auto"/>
              <w:right w:val="single" w:sz="4" w:space="0" w:color="auto"/>
            </w:tcBorders>
            <w:shd w:val="clear" w:color="auto" w:fill="auto"/>
            <w:hideMark/>
          </w:tcPr>
          <w:p w14:paraId="04571D00" w14:textId="77777777" w:rsidR="00043293" w:rsidRPr="003F4DE0" w:rsidRDefault="00043293" w:rsidP="00B16C5D">
            <w:pPr>
              <w:autoSpaceDE w:val="0"/>
              <w:autoSpaceDN w:val="0"/>
              <w:adjustRightInd w:val="0"/>
              <w:spacing w:after="0" w:line="240" w:lineRule="auto"/>
              <w:rPr>
                <w:rFonts w:eastAsia="Calibri" w:cs="Arial"/>
                <w:color w:val="000000"/>
              </w:rPr>
            </w:pPr>
            <w:r w:rsidRPr="003F4DE0">
              <w:rPr>
                <w:rFonts w:eastAsia="Calibri" w:cs="Arial"/>
                <w:color w:val="000000"/>
              </w:rPr>
              <w:t>1.0</w:t>
            </w:r>
          </w:p>
        </w:tc>
        <w:tc>
          <w:tcPr>
            <w:tcW w:w="2237" w:type="dxa"/>
            <w:tcBorders>
              <w:top w:val="single" w:sz="4" w:space="0" w:color="auto"/>
              <w:left w:val="single" w:sz="4" w:space="0" w:color="auto"/>
              <w:bottom w:val="single" w:sz="4" w:space="0" w:color="auto"/>
              <w:right w:val="single" w:sz="4" w:space="0" w:color="auto"/>
            </w:tcBorders>
            <w:shd w:val="clear" w:color="auto" w:fill="auto"/>
          </w:tcPr>
          <w:p w14:paraId="1D004758" w14:textId="48C40C28" w:rsidR="00043293" w:rsidRPr="003F4DE0" w:rsidRDefault="00844F52" w:rsidP="00B16C5D">
            <w:pPr>
              <w:autoSpaceDE w:val="0"/>
              <w:autoSpaceDN w:val="0"/>
              <w:adjustRightInd w:val="0"/>
              <w:spacing w:after="0" w:line="240" w:lineRule="auto"/>
              <w:rPr>
                <w:rFonts w:eastAsia="Calibri" w:cs="Arial"/>
                <w:color w:val="000000"/>
              </w:rPr>
            </w:pPr>
            <w:r w:rsidRPr="003F4DE0">
              <w:rPr>
                <w:rFonts w:eastAsia="Calibri" w:cs="Arial"/>
                <w:color w:val="000000"/>
              </w:rPr>
              <w:t>June 2014</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EBDB33E" w14:textId="2F7FA12A" w:rsidR="00043293" w:rsidRPr="003F4DE0" w:rsidRDefault="00844F52" w:rsidP="00B16C5D">
            <w:pPr>
              <w:autoSpaceDE w:val="0"/>
              <w:autoSpaceDN w:val="0"/>
              <w:adjustRightInd w:val="0"/>
              <w:spacing w:after="0" w:line="240" w:lineRule="auto"/>
              <w:rPr>
                <w:rFonts w:eastAsia="Calibri" w:cs="Arial"/>
                <w:color w:val="000000"/>
              </w:rPr>
            </w:pPr>
            <w:r w:rsidRPr="003F4DE0">
              <w:rPr>
                <w:rFonts w:eastAsia="Calibri" w:cs="Arial"/>
                <w:color w:val="000000"/>
              </w:rPr>
              <w:t>Initial Issue</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3E9214CF" w14:textId="4E569403" w:rsidR="00043293" w:rsidRPr="003F4DE0" w:rsidRDefault="00844F52" w:rsidP="00B16C5D">
            <w:pPr>
              <w:autoSpaceDE w:val="0"/>
              <w:autoSpaceDN w:val="0"/>
              <w:adjustRightInd w:val="0"/>
              <w:spacing w:after="0" w:line="240" w:lineRule="auto"/>
              <w:rPr>
                <w:rFonts w:eastAsia="Calibri" w:cs="Arial"/>
                <w:color w:val="000000"/>
              </w:rPr>
            </w:pPr>
            <w:r w:rsidRPr="003F4DE0">
              <w:rPr>
                <w:rFonts w:eastAsia="Calibri" w:cs="Arial"/>
                <w:color w:val="000000"/>
              </w:rPr>
              <w:t>AB</w:t>
            </w:r>
          </w:p>
        </w:tc>
      </w:tr>
      <w:tr w:rsidR="00043293" w:rsidRPr="003F4DE0" w14:paraId="7745A593" w14:textId="77777777" w:rsidTr="00B737B4">
        <w:tc>
          <w:tcPr>
            <w:tcW w:w="2287" w:type="dxa"/>
            <w:tcBorders>
              <w:top w:val="single" w:sz="4" w:space="0" w:color="auto"/>
              <w:left w:val="single" w:sz="4" w:space="0" w:color="auto"/>
              <w:bottom w:val="single" w:sz="4" w:space="0" w:color="auto"/>
              <w:right w:val="single" w:sz="4" w:space="0" w:color="auto"/>
            </w:tcBorders>
            <w:shd w:val="clear" w:color="auto" w:fill="auto"/>
          </w:tcPr>
          <w:p w14:paraId="6334C0CD" w14:textId="77777777" w:rsidR="00043293" w:rsidRPr="003F4DE0" w:rsidRDefault="00043293" w:rsidP="00B16C5D">
            <w:pPr>
              <w:autoSpaceDE w:val="0"/>
              <w:autoSpaceDN w:val="0"/>
              <w:adjustRightInd w:val="0"/>
              <w:spacing w:after="0" w:line="240" w:lineRule="auto"/>
              <w:rPr>
                <w:rFonts w:eastAsia="Calibri" w:cs="Arial"/>
                <w:color w:val="000000"/>
              </w:rPr>
            </w:pPr>
            <w:r w:rsidRPr="003F4DE0">
              <w:rPr>
                <w:rFonts w:eastAsia="Calibri" w:cs="Arial"/>
                <w:color w:val="000000"/>
              </w:rPr>
              <w:t>2.0</w:t>
            </w:r>
          </w:p>
        </w:tc>
        <w:tc>
          <w:tcPr>
            <w:tcW w:w="2237" w:type="dxa"/>
            <w:tcBorders>
              <w:top w:val="single" w:sz="4" w:space="0" w:color="auto"/>
              <w:left w:val="single" w:sz="4" w:space="0" w:color="auto"/>
              <w:bottom w:val="single" w:sz="4" w:space="0" w:color="auto"/>
              <w:right w:val="single" w:sz="4" w:space="0" w:color="auto"/>
            </w:tcBorders>
            <w:shd w:val="clear" w:color="auto" w:fill="auto"/>
          </w:tcPr>
          <w:p w14:paraId="79D56F61" w14:textId="710E32E9" w:rsidR="00043293" w:rsidRPr="003F4DE0" w:rsidRDefault="00844F52" w:rsidP="00B16C5D">
            <w:pPr>
              <w:autoSpaceDE w:val="0"/>
              <w:autoSpaceDN w:val="0"/>
              <w:adjustRightInd w:val="0"/>
              <w:spacing w:after="0" w:line="240" w:lineRule="auto"/>
              <w:rPr>
                <w:rFonts w:eastAsia="Calibri" w:cs="Arial"/>
                <w:color w:val="000000"/>
              </w:rPr>
            </w:pPr>
            <w:r w:rsidRPr="003F4DE0">
              <w:rPr>
                <w:rFonts w:eastAsia="Calibri" w:cs="Arial"/>
                <w:color w:val="000000"/>
              </w:rPr>
              <w:t>November 2017</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C1EE68F" w14:textId="3F77840F" w:rsidR="00043293" w:rsidRPr="003F4DE0" w:rsidRDefault="00844F52" w:rsidP="00B16C5D">
            <w:pPr>
              <w:autoSpaceDE w:val="0"/>
              <w:autoSpaceDN w:val="0"/>
              <w:adjustRightInd w:val="0"/>
              <w:spacing w:after="0" w:line="240" w:lineRule="auto"/>
              <w:rPr>
                <w:rFonts w:eastAsia="Calibri" w:cs="Arial"/>
                <w:color w:val="000000"/>
              </w:rPr>
            </w:pPr>
            <w:r w:rsidRPr="003F4DE0">
              <w:rPr>
                <w:rFonts w:eastAsia="Calibri" w:cs="Arial"/>
                <w:color w:val="000000"/>
              </w:rPr>
              <w:t>Internal Review</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187FBB6B" w14:textId="671207F7" w:rsidR="00043293" w:rsidRPr="003F4DE0" w:rsidRDefault="00844F52" w:rsidP="00B16C5D">
            <w:pPr>
              <w:autoSpaceDE w:val="0"/>
              <w:autoSpaceDN w:val="0"/>
              <w:adjustRightInd w:val="0"/>
              <w:spacing w:after="0" w:line="240" w:lineRule="auto"/>
              <w:rPr>
                <w:rFonts w:eastAsia="Calibri" w:cs="Arial"/>
                <w:color w:val="000000"/>
              </w:rPr>
            </w:pPr>
            <w:r w:rsidRPr="003F4DE0">
              <w:rPr>
                <w:rFonts w:eastAsia="Calibri" w:cs="Arial"/>
                <w:color w:val="000000"/>
              </w:rPr>
              <w:t>AB</w:t>
            </w:r>
          </w:p>
        </w:tc>
      </w:tr>
      <w:tr w:rsidR="00844F52" w:rsidRPr="003F4DE0" w14:paraId="3EB922CF" w14:textId="77777777" w:rsidTr="00B737B4">
        <w:tc>
          <w:tcPr>
            <w:tcW w:w="2287" w:type="dxa"/>
            <w:tcBorders>
              <w:top w:val="single" w:sz="4" w:space="0" w:color="auto"/>
              <w:left w:val="single" w:sz="4" w:space="0" w:color="auto"/>
              <w:bottom w:val="single" w:sz="4" w:space="0" w:color="auto"/>
              <w:right w:val="single" w:sz="4" w:space="0" w:color="auto"/>
            </w:tcBorders>
            <w:shd w:val="clear" w:color="auto" w:fill="auto"/>
          </w:tcPr>
          <w:p w14:paraId="45EDF0F6" w14:textId="77777777" w:rsidR="00844F52" w:rsidRPr="003F4DE0" w:rsidRDefault="00844F52" w:rsidP="00B16C5D">
            <w:pPr>
              <w:autoSpaceDE w:val="0"/>
              <w:autoSpaceDN w:val="0"/>
              <w:adjustRightInd w:val="0"/>
              <w:spacing w:after="0" w:line="240" w:lineRule="auto"/>
              <w:rPr>
                <w:rFonts w:eastAsia="Calibri" w:cs="Arial"/>
                <w:color w:val="000000"/>
              </w:rPr>
            </w:pPr>
            <w:r w:rsidRPr="003F4DE0">
              <w:rPr>
                <w:rFonts w:eastAsia="Calibri" w:cs="Arial"/>
                <w:color w:val="000000"/>
              </w:rPr>
              <w:t>3.0</w:t>
            </w:r>
          </w:p>
        </w:tc>
        <w:tc>
          <w:tcPr>
            <w:tcW w:w="2237" w:type="dxa"/>
            <w:tcBorders>
              <w:top w:val="single" w:sz="4" w:space="0" w:color="auto"/>
              <w:left w:val="single" w:sz="4" w:space="0" w:color="auto"/>
              <w:bottom w:val="single" w:sz="4" w:space="0" w:color="auto"/>
              <w:right w:val="single" w:sz="4" w:space="0" w:color="auto"/>
            </w:tcBorders>
            <w:shd w:val="clear" w:color="auto" w:fill="auto"/>
          </w:tcPr>
          <w:p w14:paraId="5441F13F" w14:textId="75BD0FA5" w:rsidR="00844F52" w:rsidRPr="003F4DE0" w:rsidRDefault="00844F52" w:rsidP="00B16C5D">
            <w:pPr>
              <w:autoSpaceDE w:val="0"/>
              <w:autoSpaceDN w:val="0"/>
              <w:adjustRightInd w:val="0"/>
              <w:spacing w:after="0" w:line="240" w:lineRule="auto"/>
              <w:rPr>
                <w:rFonts w:eastAsia="Calibri" w:cs="Arial"/>
                <w:color w:val="000000"/>
              </w:rPr>
            </w:pPr>
            <w:r w:rsidRPr="003F4DE0">
              <w:rPr>
                <w:rFonts w:eastAsia="Calibri" w:cs="Arial"/>
                <w:color w:val="000000"/>
              </w:rPr>
              <w:t>August 2018</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0D0DC9A" w14:textId="35494A9B" w:rsidR="00844F52" w:rsidRPr="003F4DE0" w:rsidRDefault="00844F52" w:rsidP="00B16C5D">
            <w:pPr>
              <w:autoSpaceDE w:val="0"/>
              <w:autoSpaceDN w:val="0"/>
              <w:adjustRightInd w:val="0"/>
              <w:spacing w:after="0" w:line="240" w:lineRule="auto"/>
              <w:rPr>
                <w:rFonts w:eastAsia="Calibri" w:cs="Arial"/>
                <w:color w:val="000000"/>
              </w:rPr>
            </w:pPr>
            <w:r w:rsidRPr="003F4DE0">
              <w:rPr>
                <w:rFonts w:eastAsia="Calibri" w:cs="Arial"/>
                <w:color w:val="000000"/>
              </w:rPr>
              <w:t>Internal Review</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67ABA3D5" w14:textId="57BFE1EA" w:rsidR="00844F52" w:rsidRPr="003F4DE0" w:rsidRDefault="00844F52" w:rsidP="00B16C5D">
            <w:pPr>
              <w:autoSpaceDE w:val="0"/>
              <w:autoSpaceDN w:val="0"/>
              <w:adjustRightInd w:val="0"/>
              <w:spacing w:after="0" w:line="240" w:lineRule="auto"/>
              <w:rPr>
                <w:rFonts w:eastAsia="Calibri" w:cs="Arial"/>
                <w:color w:val="000000"/>
              </w:rPr>
            </w:pPr>
            <w:r w:rsidRPr="003F4DE0">
              <w:rPr>
                <w:rFonts w:eastAsia="Calibri" w:cs="Arial"/>
                <w:color w:val="000000"/>
              </w:rPr>
              <w:t>AB</w:t>
            </w:r>
          </w:p>
        </w:tc>
      </w:tr>
      <w:tr w:rsidR="00C93A38" w:rsidRPr="003F4DE0" w14:paraId="09BFE520" w14:textId="77777777" w:rsidTr="00B737B4">
        <w:tc>
          <w:tcPr>
            <w:tcW w:w="2287" w:type="dxa"/>
            <w:tcBorders>
              <w:top w:val="single" w:sz="4" w:space="0" w:color="auto"/>
              <w:left w:val="single" w:sz="4" w:space="0" w:color="auto"/>
              <w:bottom w:val="single" w:sz="4" w:space="0" w:color="auto"/>
              <w:right w:val="single" w:sz="4" w:space="0" w:color="auto"/>
            </w:tcBorders>
            <w:shd w:val="clear" w:color="auto" w:fill="auto"/>
          </w:tcPr>
          <w:p w14:paraId="5F792AE0" w14:textId="3757075D" w:rsidR="00C93A38" w:rsidRPr="003F4DE0" w:rsidRDefault="00C93A38" w:rsidP="00C93A38">
            <w:pPr>
              <w:autoSpaceDE w:val="0"/>
              <w:autoSpaceDN w:val="0"/>
              <w:adjustRightInd w:val="0"/>
              <w:spacing w:after="0" w:line="240" w:lineRule="auto"/>
              <w:rPr>
                <w:rFonts w:eastAsia="Calibri" w:cs="Arial"/>
                <w:color w:val="000000"/>
              </w:rPr>
            </w:pPr>
            <w:r w:rsidRPr="003F4DE0">
              <w:rPr>
                <w:rFonts w:eastAsia="Calibri" w:cs="Arial"/>
                <w:color w:val="000000"/>
              </w:rPr>
              <w:t>4.0</w:t>
            </w:r>
          </w:p>
        </w:tc>
        <w:tc>
          <w:tcPr>
            <w:tcW w:w="2237" w:type="dxa"/>
            <w:tcBorders>
              <w:top w:val="single" w:sz="4" w:space="0" w:color="auto"/>
              <w:left w:val="single" w:sz="4" w:space="0" w:color="auto"/>
              <w:bottom w:val="single" w:sz="4" w:space="0" w:color="auto"/>
              <w:right w:val="single" w:sz="4" w:space="0" w:color="auto"/>
            </w:tcBorders>
            <w:shd w:val="clear" w:color="auto" w:fill="auto"/>
          </w:tcPr>
          <w:p w14:paraId="466EBEBF" w14:textId="20C240EC" w:rsidR="00C93A38" w:rsidRPr="003F4DE0" w:rsidRDefault="00C93A38" w:rsidP="00C93A38">
            <w:pPr>
              <w:autoSpaceDE w:val="0"/>
              <w:autoSpaceDN w:val="0"/>
              <w:adjustRightInd w:val="0"/>
              <w:spacing w:after="0" w:line="240" w:lineRule="auto"/>
              <w:rPr>
                <w:rFonts w:eastAsia="Calibri" w:cs="Arial"/>
                <w:color w:val="000000"/>
              </w:rPr>
            </w:pPr>
            <w:r w:rsidRPr="003F4DE0">
              <w:rPr>
                <w:rFonts w:eastAsia="Calibri" w:cs="Arial"/>
                <w:color w:val="000000"/>
              </w:rPr>
              <w:t>May 2019</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1988A64" w14:textId="4A79BF97" w:rsidR="00C93A38" w:rsidRPr="003F4DE0" w:rsidRDefault="00C93A38" w:rsidP="00C93A38">
            <w:pPr>
              <w:autoSpaceDE w:val="0"/>
              <w:autoSpaceDN w:val="0"/>
              <w:adjustRightInd w:val="0"/>
              <w:spacing w:after="0" w:line="240" w:lineRule="auto"/>
              <w:rPr>
                <w:rFonts w:eastAsia="Calibri" w:cs="Arial"/>
                <w:color w:val="000000"/>
              </w:rPr>
            </w:pPr>
            <w:r w:rsidRPr="003F4DE0">
              <w:rPr>
                <w:rFonts w:eastAsia="Calibri" w:cs="Arial"/>
                <w:color w:val="000000"/>
              </w:rPr>
              <w:t>Internal Review</w:t>
            </w:r>
          </w:p>
        </w:tc>
        <w:tc>
          <w:tcPr>
            <w:tcW w:w="2242" w:type="dxa"/>
            <w:tcBorders>
              <w:top w:val="single" w:sz="4" w:space="0" w:color="auto"/>
              <w:left w:val="single" w:sz="4" w:space="0" w:color="auto"/>
              <w:bottom w:val="single" w:sz="4" w:space="0" w:color="auto"/>
              <w:right w:val="single" w:sz="4" w:space="0" w:color="auto"/>
            </w:tcBorders>
            <w:shd w:val="clear" w:color="auto" w:fill="auto"/>
          </w:tcPr>
          <w:p w14:paraId="7401F278" w14:textId="36A1595D" w:rsidR="00C93A38" w:rsidRPr="003F4DE0" w:rsidRDefault="00C93A38" w:rsidP="00C93A38">
            <w:pPr>
              <w:autoSpaceDE w:val="0"/>
              <w:autoSpaceDN w:val="0"/>
              <w:adjustRightInd w:val="0"/>
              <w:spacing w:after="0" w:line="240" w:lineRule="auto"/>
              <w:rPr>
                <w:rFonts w:eastAsia="Calibri" w:cs="Arial"/>
                <w:color w:val="000000"/>
              </w:rPr>
            </w:pPr>
            <w:r w:rsidRPr="003F4DE0">
              <w:rPr>
                <w:rFonts w:eastAsia="Calibri" w:cs="Arial"/>
                <w:color w:val="000000"/>
              </w:rPr>
              <w:t>AB</w:t>
            </w:r>
          </w:p>
        </w:tc>
      </w:tr>
      <w:tr w:rsidR="00C93A38" w:rsidRPr="003F4DE0" w14:paraId="55E50C54" w14:textId="77777777" w:rsidTr="00B737B4">
        <w:tc>
          <w:tcPr>
            <w:tcW w:w="2287" w:type="dxa"/>
            <w:tcBorders>
              <w:top w:val="single" w:sz="4" w:space="0" w:color="auto"/>
              <w:left w:val="single" w:sz="4" w:space="0" w:color="auto"/>
              <w:bottom w:val="single" w:sz="4" w:space="0" w:color="auto"/>
              <w:right w:val="single" w:sz="4" w:space="0" w:color="auto"/>
            </w:tcBorders>
            <w:shd w:val="clear" w:color="auto" w:fill="auto"/>
            <w:hideMark/>
          </w:tcPr>
          <w:p w14:paraId="21C5B619" w14:textId="77777777" w:rsidR="00C93A38" w:rsidRPr="003F4DE0" w:rsidRDefault="00C93A38" w:rsidP="00C93A38">
            <w:pPr>
              <w:autoSpaceDE w:val="0"/>
              <w:autoSpaceDN w:val="0"/>
              <w:adjustRightInd w:val="0"/>
              <w:spacing w:after="0" w:line="240" w:lineRule="auto"/>
              <w:rPr>
                <w:rFonts w:eastAsia="Calibri" w:cs="Arial"/>
                <w:color w:val="000000"/>
              </w:rPr>
            </w:pPr>
            <w:r w:rsidRPr="003F4DE0">
              <w:rPr>
                <w:rFonts w:eastAsia="Calibri" w:cs="Arial"/>
                <w:color w:val="000000"/>
              </w:rPr>
              <w:t xml:space="preserve"> Related legislation/ regulation/standard</w:t>
            </w:r>
          </w:p>
        </w:tc>
        <w:tc>
          <w:tcPr>
            <w:tcW w:w="6729" w:type="dxa"/>
            <w:gridSpan w:val="3"/>
            <w:tcBorders>
              <w:top w:val="single" w:sz="4" w:space="0" w:color="auto"/>
              <w:left w:val="single" w:sz="4" w:space="0" w:color="auto"/>
              <w:bottom w:val="single" w:sz="4" w:space="0" w:color="auto"/>
              <w:right w:val="single" w:sz="4" w:space="0" w:color="auto"/>
            </w:tcBorders>
            <w:shd w:val="clear" w:color="auto" w:fill="auto"/>
          </w:tcPr>
          <w:p w14:paraId="38E79CC6" w14:textId="77777777" w:rsidR="00C93A38" w:rsidRPr="003F4DE0" w:rsidRDefault="00C93A38" w:rsidP="00C93A38">
            <w:pPr>
              <w:autoSpaceDE w:val="0"/>
              <w:autoSpaceDN w:val="0"/>
              <w:adjustRightInd w:val="0"/>
              <w:spacing w:after="0" w:line="240" w:lineRule="auto"/>
              <w:rPr>
                <w:rFonts w:eastAsia="Calibri" w:cs="Arial"/>
                <w:color w:val="000000"/>
              </w:rPr>
            </w:pPr>
            <w:r w:rsidRPr="003F4DE0">
              <w:rPr>
                <w:rFonts w:eastAsia="Calibri" w:cs="Arial"/>
                <w:color w:val="000000"/>
              </w:rPr>
              <w:t>HES Threshold Standards 2015</w:t>
            </w:r>
          </w:p>
          <w:p w14:paraId="28761A8B" w14:textId="77777777" w:rsidR="00C93A38" w:rsidRPr="003F4DE0" w:rsidRDefault="00C93A38" w:rsidP="00C93A38">
            <w:pPr>
              <w:autoSpaceDE w:val="0"/>
              <w:autoSpaceDN w:val="0"/>
              <w:adjustRightInd w:val="0"/>
              <w:spacing w:after="0" w:line="240" w:lineRule="auto"/>
              <w:rPr>
                <w:rFonts w:eastAsia="Calibri" w:cs="Arial"/>
                <w:color w:val="000000"/>
              </w:rPr>
            </w:pPr>
            <w:r w:rsidRPr="003F4DE0">
              <w:rPr>
                <w:rFonts w:eastAsia="Calibri" w:cs="Arial"/>
                <w:color w:val="000000"/>
              </w:rPr>
              <w:t>ESOS National Code 2018</w:t>
            </w:r>
          </w:p>
        </w:tc>
      </w:tr>
    </w:tbl>
    <w:p w14:paraId="3F6D7933" w14:textId="77777777" w:rsidR="00043293" w:rsidRPr="003F4DE0" w:rsidRDefault="00043293" w:rsidP="00B16C5D">
      <w:pPr>
        <w:spacing w:after="0" w:line="240" w:lineRule="auto"/>
      </w:pPr>
    </w:p>
    <w:p w14:paraId="057AE198" w14:textId="77777777" w:rsidR="0000675D" w:rsidRPr="003F4DE0" w:rsidRDefault="00823F13" w:rsidP="00B16C5D">
      <w:pPr>
        <w:pStyle w:val="Heading2"/>
        <w:spacing w:before="0" w:line="240" w:lineRule="auto"/>
        <w:rPr>
          <w:sz w:val="22"/>
          <w:szCs w:val="22"/>
        </w:rPr>
      </w:pPr>
      <w:r w:rsidRPr="003F4DE0">
        <w:rPr>
          <w:sz w:val="22"/>
          <w:szCs w:val="22"/>
        </w:rPr>
        <w:t>Appendix</w:t>
      </w:r>
    </w:p>
    <w:p w14:paraId="562D2676" w14:textId="77777777" w:rsidR="00823F13" w:rsidRPr="003F4DE0" w:rsidRDefault="007C0644" w:rsidP="00B16C5D">
      <w:pPr>
        <w:tabs>
          <w:tab w:val="left" w:pos="1560"/>
        </w:tabs>
        <w:spacing w:after="0" w:line="240" w:lineRule="auto"/>
        <w:jc w:val="center"/>
        <w:rPr>
          <w:b/>
        </w:rPr>
      </w:pPr>
      <w:r w:rsidRPr="003F4DE0">
        <w:rPr>
          <w:b/>
        </w:rPr>
        <w:t xml:space="preserve">Course </w:t>
      </w:r>
      <w:r w:rsidR="00823F13" w:rsidRPr="003F4DE0">
        <w:rPr>
          <w:b/>
        </w:rPr>
        <w:t>Credit Outcome Letter</w:t>
      </w:r>
    </w:p>
    <w:p w14:paraId="6A9D31A8" w14:textId="77777777" w:rsidR="00B16C5D" w:rsidRPr="003F4DE0" w:rsidRDefault="00B16C5D" w:rsidP="00B16C5D">
      <w:pPr>
        <w:tabs>
          <w:tab w:val="left" w:pos="1560"/>
        </w:tabs>
        <w:spacing w:after="0" w:line="240" w:lineRule="auto"/>
        <w:jc w:val="center"/>
        <w:rPr>
          <w:lang w:eastAsia="zh-CN"/>
        </w:rPr>
      </w:pPr>
    </w:p>
    <w:p w14:paraId="1D295715" w14:textId="77777777" w:rsidR="00823F13" w:rsidRPr="003F4DE0" w:rsidRDefault="00823F13" w:rsidP="00B16C5D">
      <w:pPr>
        <w:spacing w:after="0" w:line="240" w:lineRule="auto"/>
      </w:pPr>
      <w:r w:rsidRPr="003F4DE0">
        <w:t xml:space="preserve">[Date] </w:t>
      </w:r>
    </w:p>
    <w:p w14:paraId="55FE8EC7" w14:textId="77777777" w:rsidR="00823F13" w:rsidRPr="003F4DE0" w:rsidRDefault="00823F13" w:rsidP="00B16C5D">
      <w:pPr>
        <w:spacing w:after="0" w:line="240" w:lineRule="auto"/>
      </w:pPr>
      <w:r w:rsidRPr="003F4DE0">
        <w:t>[LAST NAME, First Name]</w:t>
      </w:r>
    </w:p>
    <w:p w14:paraId="21B85371" w14:textId="77777777" w:rsidR="00823F13" w:rsidRPr="003F4DE0" w:rsidRDefault="00823F13" w:rsidP="00B16C5D">
      <w:pPr>
        <w:spacing w:after="0" w:line="240" w:lineRule="auto"/>
      </w:pPr>
      <w:r w:rsidRPr="003F4DE0">
        <w:t>[Address]</w:t>
      </w:r>
    </w:p>
    <w:p w14:paraId="2B86D96B" w14:textId="77777777" w:rsidR="00B16C5D" w:rsidRPr="003F4DE0" w:rsidRDefault="00B16C5D" w:rsidP="00B16C5D">
      <w:pPr>
        <w:spacing w:after="0" w:line="240" w:lineRule="auto"/>
      </w:pPr>
    </w:p>
    <w:p w14:paraId="5B3B2050" w14:textId="77777777" w:rsidR="00823F13" w:rsidRPr="003F4DE0" w:rsidRDefault="00823F13" w:rsidP="00B16C5D">
      <w:pPr>
        <w:spacing w:after="0" w:line="240" w:lineRule="auto"/>
        <w:rPr>
          <w:b/>
        </w:rPr>
      </w:pPr>
      <w:r w:rsidRPr="003F4DE0">
        <w:rPr>
          <w:b/>
        </w:rPr>
        <w:t>RE: Course Credit Outcome Letter</w:t>
      </w:r>
    </w:p>
    <w:p w14:paraId="6F4F9A1C" w14:textId="77777777" w:rsidR="00B16C5D" w:rsidRPr="003F4DE0" w:rsidRDefault="00B16C5D" w:rsidP="00B16C5D">
      <w:pPr>
        <w:spacing w:after="0" w:line="240" w:lineRule="auto"/>
        <w:rPr>
          <w:b/>
        </w:rPr>
      </w:pPr>
    </w:p>
    <w:p w14:paraId="0653751B" w14:textId="77777777" w:rsidR="00823F13" w:rsidRPr="003F4DE0" w:rsidRDefault="00823F13" w:rsidP="00B16C5D">
      <w:pPr>
        <w:spacing w:after="0" w:line="240" w:lineRule="auto"/>
      </w:pPr>
      <w:r w:rsidRPr="003F4DE0">
        <w:t>Dear [student name</w:t>
      </w:r>
      <w:proofErr w:type="gramStart"/>
      <w:r w:rsidRPr="003F4DE0">
        <w:t>][</w:t>
      </w:r>
      <w:proofErr w:type="gramEnd"/>
      <w:r w:rsidRPr="003F4DE0">
        <w:t xml:space="preserve"> ID number if allocated]</w:t>
      </w:r>
    </w:p>
    <w:p w14:paraId="5BD825DF" w14:textId="77777777" w:rsidR="00B16C5D" w:rsidRPr="003F4DE0" w:rsidRDefault="00B16C5D" w:rsidP="00B16C5D">
      <w:pPr>
        <w:spacing w:after="0" w:line="240" w:lineRule="auto"/>
      </w:pPr>
    </w:p>
    <w:p w14:paraId="4AC050B1" w14:textId="77777777" w:rsidR="00823F13" w:rsidRPr="003F4DE0" w:rsidRDefault="00823F13" w:rsidP="00B16C5D">
      <w:pPr>
        <w:spacing w:after="0" w:line="240" w:lineRule="auto"/>
      </w:pPr>
      <w:r w:rsidRPr="003F4DE0">
        <w:t xml:space="preserve">Thank you for applying to </w:t>
      </w:r>
      <w:r w:rsidR="00CF38BA" w:rsidRPr="003F4DE0">
        <w:t>O</w:t>
      </w:r>
      <w:r w:rsidR="001F7A16" w:rsidRPr="003F4DE0">
        <w:t>zford Institute of Higher Educati</w:t>
      </w:r>
      <w:r w:rsidR="00CF38BA" w:rsidRPr="003F4DE0">
        <w:t>on</w:t>
      </w:r>
      <w:r w:rsidRPr="003F4DE0">
        <w:t xml:space="preserve"> to continue your studies in the [course applied].</w:t>
      </w:r>
    </w:p>
    <w:p w14:paraId="0E31C60A" w14:textId="77777777" w:rsidR="00B16C5D" w:rsidRPr="003F4DE0" w:rsidRDefault="00B16C5D" w:rsidP="00B16C5D">
      <w:pPr>
        <w:spacing w:after="0" w:line="240" w:lineRule="auto"/>
      </w:pPr>
    </w:p>
    <w:p w14:paraId="4EE485DE" w14:textId="77777777" w:rsidR="00823F13" w:rsidRPr="003F4DE0" w:rsidRDefault="00823F13" w:rsidP="00B16C5D">
      <w:pPr>
        <w:spacing w:after="0" w:line="240" w:lineRule="auto"/>
      </w:pPr>
      <w:r w:rsidRPr="003F4DE0">
        <w:t xml:space="preserve">I have assessed your Course Credit application based on the evidence you provided. </w:t>
      </w:r>
      <w:r w:rsidR="007C0644" w:rsidRPr="003F4DE0">
        <w:t xml:space="preserve">Details of the </w:t>
      </w:r>
      <w:r w:rsidR="003206FA" w:rsidRPr="003F4DE0">
        <w:t xml:space="preserve">credit approved by the Institute are </w:t>
      </w:r>
      <w:r w:rsidR="007C0644" w:rsidRPr="003F4DE0">
        <w:t>set out below.</w:t>
      </w:r>
    </w:p>
    <w:p w14:paraId="268721EF" w14:textId="77777777" w:rsidR="00B16C5D" w:rsidRPr="003F4DE0" w:rsidRDefault="00B16C5D" w:rsidP="00B16C5D">
      <w:pPr>
        <w:spacing w:after="0" w:line="240" w:lineRule="auto"/>
      </w:pPr>
    </w:p>
    <w:tbl>
      <w:tblPr>
        <w:tblStyle w:val="LightList"/>
        <w:tblW w:w="0" w:type="auto"/>
        <w:tblLook w:val="04A0" w:firstRow="1" w:lastRow="0" w:firstColumn="1" w:lastColumn="0" w:noHBand="0" w:noVBand="1"/>
      </w:tblPr>
      <w:tblGrid>
        <w:gridCol w:w="4626"/>
        <w:gridCol w:w="4380"/>
      </w:tblGrid>
      <w:tr w:rsidR="00823F13" w:rsidRPr="003F4DE0" w14:paraId="325E671B" w14:textId="77777777" w:rsidTr="00844F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4" w:type="dxa"/>
          </w:tcPr>
          <w:p w14:paraId="2FF0813F" w14:textId="7DB38EE1" w:rsidR="00823F13" w:rsidRPr="003F4DE0" w:rsidRDefault="00823F13" w:rsidP="00B16C5D">
            <w:pPr>
              <w:jc w:val="center"/>
            </w:pPr>
            <w:r w:rsidRPr="003F4DE0">
              <w:t>Course/Unit/Subject</w:t>
            </w:r>
          </w:p>
        </w:tc>
        <w:tc>
          <w:tcPr>
            <w:tcW w:w="4518" w:type="dxa"/>
          </w:tcPr>
          <w:p w14:paraId="389B216F" w14:textId="77777777" w:rsidR="00823F13" w:rsidRPr="003F4DE0" w:rsidRDefault="00AD1878" w:rsidP="00B16C5D">
            <w:pPr>
              <w:jc w:val="center"/>
              <w:cnfStyle w:val="100000000000" w:firstRow="1" w:lastRow="0" w:firstColumn="0" w:lastColumn="0" w:oddVBand="0" w:evenVBand="0" w:oddHBand="0" w:evenHBand="0" w:firstRowFirstColumn="0" w:firstRowLastColumn="0" w:lastRowFirstColumn="0" w:lastRowLastColumn="0"/>
            </w:pPr>
            <w:r w:rsidRPr="003F4DE0">
              <w:t>Institute</w:t>
            </w:r>
            <w:r w:rsidR="00823F13" w:rsidRPr="003F4DE0">
              <w:t xml:space="preserve"> Credit Granted</w:t>
            </w:r>
          </w:p>
        </w:tc>
      </w:tr>
      <w:tr w:rsidR="00823F13" w:rsidRPr="003F4DE0" w14:paraId="5B74E88D" w14:textId="77777777" w:rsidTr="00844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4" w:type="dxa"/>
          </w:tcPr>
          <w:p w14:paraId="6AA65118" w14:textId="77777777" w:rsidR="00823F13" w:rsidRPr="003F4DE0" w:rsidRDefault="00823F13" w:rsidP="00B16C5D"/>
        </w:tc>
        <w:tc>
          <w:tcPr>
            <w:tcW w:w="4518" w:type="dxa"/>
          </w:tcPr>
          <w:p w14:paraId="09820134" w14:textId="77777777" w:rsidR="00823F13" w:rsidRPr="003F4DE0" w:rsidRDefault="00823F13" w:rsidP="00B16C5D">
            <w:pPr>
              <w:cnfStyle w:val="000000100000" w:firstRow="0" w:lastRow="0" w:firstColumn="0" w:lastColumn="0" w:oddVBand="0" w:evenVBand="0" w:oddHBand="1" w:evenHBand="0" w:firstRowFirstColumn="0" w:firstRowLastColumn="0" w:lastRowFirstColumn="0" w:lastRowLastColumn="0"/>
            </w:pPr>
          </w:p>
        </w:tc>
      </w:tr>
      <w:tr w:rsidR="00823F13" w:rsidRPr="003F4DE0" w14:paraId="65C8181F" w14:textId="77777777" w:rsidTr="00844F52">
        <w:tc>
          <w:tcPr>
            <w:cnfStyle w:val="001000000000" w:firstRow="0" w:lastRow="0" w:firstColumn="1" w:lastColumn="0" w:oddVBand="0" w:evenVBand="0" w:oddHBand="0" w:evenHBand="0" w:firstRowFirstColumn="0" w:firstRowLastColumn="0" w:lastRowFirstColumn="0" w:lastRowLastColumn="0"/>
            <w:tcW w:w="4724" w:type="dxa"/>
          </w:tcPr>
          <w:p w14:paraId="2F0A600F" w14:textId="77777777" w:rsidR="00823F13" w:rsidRPr="003F4DE0" w:rsidRDefault="00823F13" w:rsidP="00B16C5D"/>
        </w:tc>
        <w:tc>
          <w:tcPr>
            <w:tcW w:w="4518" w:type="dxa"/>
          </w:tcPr>
          <w:p w14:paraId="3C13FC70" w14:textId="77777777" w:rsidR="00823F13" w:rsidRPr="003F4DE0" w:rsidRDefault="00823F13" w:rsidP="00B16C5D">
            <w:pPr>
              <w:cnfStyle w:val="000000000000" w:firstRow="0" w:lastRow="0" w:firstColumn="0" w:lastColumn="0" w:oddVBand="0" w:evenVBand="0" w:oddHBand="0" w:evenHBand="0" w:firstRowFirstColumn="0" w:firstRowLastColumn="0" w:lastRowFirstColumn="0" w:lastRowLastColumn="0"/>
            </w:pPr>
          </w:p>
        </w:tc>
      </w:tr>
      <w:tr w:rsidR="00823F13" w:rsidRPr="003F4DE0" w14:paraId="0A92EF9D" w14:textId="77777777" w:rsidTr="00844F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24" w:type="dxa"/>
          </w:tcPr>
          <w:p w14:paraId="48524962" w14:textId="77777777" w:rsidR="00823F13" w:rsidRPr="003F4DE0" w:rsidRDefault="00823F13" w:rsidP="00B16C5D"/>
        </w:tc>
        <w:tc>
          <w:tcPr>
            <w:tcW w:w="4518" w:type="dxa"/>
          </w:tcPr>
          <w:p w14:paraId="17D61290" w14:textId="77777777" w:rsidR="00823F13" w:rsidRPr="003F4DE0" w:rsidRDefault="00823F13" w:rsidP="00B16C5D">
            <w:pPr>
              <w:cnfStyle w:val="000000100000" w:firstRow="0" w:lastRow="0" w:firstColumn="0" w:lastColumn="0" w:oddVBand="0" w:evenVBand="0" w:oddHBand="1" w:evenHBand="0" w:firstRowFirstColumn="0" w:firstRowLastColumn="0" w:lastRowFirstColumn="0" w:lastRowLastColumn="0"/>
            </w:pPr>
          </w:p>
        </w:tc>
      </w:tr>
      <w:tr w:rsidR="00823F13" w:rsidRPr="003F4DE0" w14:paraId="4113D53F" w14:textId="77777777" w:rsidTr="00844F52">
        <w:tc>
          <w:tcPr>
            <w:cnfStyle w:val="001000000000" w:firstRow="0" w:lastRow="0" w:firstColumn="1" w:lastColumn="0" w:oddVBand="0" w:evenVBand="0" w:oddHBand="0" w:evenHBand="0" w:firstRowFirstColumn="0" w:firstRowLastColumn="0" w:lastRowFirstColumn="0" w:lastRowLastColumn="0"/>
            <w:tcW w:w="4724" w:type="dxa"/>
          </w:tcPr>
          <w:p w14:paraId="41FF1095" w14:textId="77777777" w:rsidR="00823F13" w:rsidRPr="003F4DE0" w:rsidRDefault="00823F13" w:rsidP="00B16C5D"/>
        </w:tc>
        <w:tc>
          <w:tcPr>
            <w:tcW w:w="4518" w:type="dxa"/>
          </w:tcPr>
          <w:p w14:paraId="712C06F5" w14:textId="77777777" w:rsidR="00823F13" w:rsidRPr="003F4DE0" w:rsidRDefault="00823F13" w:rsidP="00B16C5D">
            <w:pPr>
              <w:cnfStyle w:val="000000000000" w:firstRow="0" w:lastRow="0" w:firstColumn="0" w:lastColumn="0" w:oddVBand="0" w:evenVBand="0" w:oddHBand="0" w:evenHBand="0" w:firstRowFirstColumn="0" w:firstRowLastColumn="0" w:lastRowFirstColumn="0" w:lastRowLastColumn="0"/>
            </w:pPr>
          </w:p>
        </w:tc>
      </w:tr>
    </w:tbl>
    <w:p w14:paraId="292D9F6C" w14:textId="77777777" w:rsidR="00B16C5D" w:rsidRPr="003F4DE0" w:rsidRDefault="00B16C5D" w:rsidP="00B16C5D">
      <w:pPr>
        <w:spacing w:after="0" w:line="240" w:lineRule="auto"/>
      </w:pPr>
    </w:p>
    <w:p w14:paraId="5649C4A8" w14:textId="77777777" w:rsidR="00B16C5D" w:rsidRPr="003F4DE0" w:rsidRDefault="00B16C5D" w:rsidP="00B16C5D">
      <w:pPr>
        <w:spacing w:after="0" w:line="240" w:lineRule="auto"/>
      </w:pPr>
    </w:p>
    <w:p w14:paraId="7E5358DB" w14:textId="77777777" w:rsidR="003206FA" w:rsidRPr="003F4DE0" w:rsidRDefault="003206FA" w:rsidP="00B16C5D">
      <w:pPr>
        <w:spacing w:after="0" w:line="240" w:lineRule="auto"/>
      </w:pPr>
      <w:r w:rsidRPr="003F4DE0">
        <w:t xml:space="preserve">Please indicate that you accept the Institute’s assessment of course credit </w:t>
      </w:r>
      <w:r w:rsidR="00823F13" w:rsidRPr="003F4DE0">
        <w:t xml:space="preserve">by signing </w:t>
      </w:r>
      <w:r w:rsidR="002C0A26" w:rsidRPr="003F4DE0">
        <w:t xml:space="preserve">the declaration </w:t>
      </w:r>
      <w:r w:rsidR="00823F13" w:rsidRPr="003F4DE0">
        <w:t xml:space="preserve">below and return </w:t>
      </w:r>
      <w:r w:rsidRPr="003F4DE0">
        <w:t>the</w:t>
      </w:r>
      <w:r w:rsidR="002C0A26" w:rsidRPr="003F4DE0">
        <w:t xml:space="preserve"> signed copy</w:t>
      </w:r>
      <w:r w:rsidRPr="003F4DE0">
        <w:t xml:space="preserve"> </w:t>
      </w:r>
      <w:r w:rsidR="00823F13" w:rsidRPr="003F4DE0">
        <w:t xml:space="preserve">to the Admissions Officer no later than 7 </w:t>
      </w:r>
      <w:r w:rsidRPr="003F4DE0">
        <w:t xml:space="preserve">working </w:t>
      </w:r>
      <w:r w:rsidR="00823F13" w:rsidRPr="003F4DE0">
        <w:t xml:space="preserve">days from date of this letter. </w:t>
      </w:r>
    </w:p>
    <w:p w14:paraId="670A3360" w14:textId="77777777" w:rsidR="00B16C5D" w:rsidRPr="003F4DE0" w:rsidRDefault="00B16C5D" w:rsidP="00B16C5D">
      <w:pPr>
        <w:spacing w:after="0" w:line="240" w:lineRule="auto"/>
      </w:pPr>
    </w:p>
    <w:p w14:paraId="5E84BF1F" w14:textId="77777777" w:rsidR="00823F13" w:rsidRPr="003F4DE0" w:rsidRDefault="00823F13" w:rsidP="00B16C5D">
      <w:pPr>
        <w:spacing w:after="0" w:line="240" w:lineRule="auto"/>
      </w:pPr>
      <w:r w:rsidRPr="003F4DE0">
        <w:t>If you require further information, please do not hesitate to contact the Admissions Officer on (03)86637188.</w:t>
      </w:r>
    </w:p>
    <w:p w14:paraId="0D61DB9F" w14:textId="77777777" w:rsidR="00B16C5D" w:rsidRPr="003F4DE0" w:rsidRDefault="00B16C5D" w:rsidP="00B16C5D">
      <w:pPr>
        <w:spacing w:after="0" w:line="240" w:lineRule="auto"/>
        <w:rPr>
          <w:lang w:eastAsia="zh-CN"/>
        </w:rPr>
      </w:pPr>
    </w:p>
    <w:p w14:paraId="25A4E1F4" w14:textId="77777777" w:rsidR="00823F13" w:rsidRPr="003F4DE0" w:rsidRDefault="00823F13" w:rsidP="00B16C5D">
      <w:pPr>
        <w:spacing w:after="0" w:line="240" w:lineRule="auto"/>
        <w:rPr>
          <w:lang w:eastAsia="zh-CN"/>
        </w:rPr>
      </w:pPr>
      <w:r w:rsidRPr="003F4DE0">
        <w:rPr>
          <w:lang w:eastAsia="zh-CN"/>
        </w:rPr>
        <w:t xml:space="preserve">Please refer to </w:t>
      </w:r>
      <w:r w:rsidR="00CF38BA" w:rsidRPr="003F4DE0">
        <w:rPr>
          <w:lang w:eastAsia="zh-CN"/>
        </w:rPr>
        <w:t xml:space="preserve">the </w:t>
      </w:r>
      <w:r w:rsidR="005607E2" w:rsidRPr="003F4DE0">
        <w:rPr>
          <w:lang w:eastAsia="zh-CN"/>
        </w:rPr>
        <w:t>Academic Appeals Policy</w:t>
      </w:r>
      <w:r w:rsidRPr="003F4DE0">
        <w:rPr>
          <w:lang w:eastAsia="zh-CN"/>
        </w:rPr>
        <w:t xml:space="preserve"> if you are not sa</w:t>
      </w:r>
      <w:r w:rsidR="00652727" w:rsidRPr="003F4DE0">
        <w:rPr>
          <w:lang w:eastAsia="zh-CN"/>
        </w:rPr>
        <w:t xml:space="preserve">tisfied with the Course Credit </w:t>
      </w:r>
      <w:r w:rsidR="00ED0BA7" w:rsidRPr="003F4DE0">
        <w:rPr>
          <w:lang w:eastAsia="zh-CN"/>
        </w:rPr>
        <w:t>Application o</w:t>
      </w:r>
      <w:r w:rsidRPr="003F4DE0">
        <w:rPr>
          <w:lang w:eastAsia="zh-CN"/>
        </w:rPr>
        <w:t>utcome.</w:t>
      </w:r>
    </w:p>
    <w:p w14:paraId="7E330BE5" w14:textId="77777777" w:rsidR="00B16C5D" w:rsidRPr="003F4DE0" w:rsidRDefault="00B16C5D" w:rsidP="00B16C5D">
      <w:pPr>
        <w:spacing w:after="0" w:line="240" w:lineRule="auto"/>
      </w:pPr>
    </w:p>
    <w:p w14:paraId="417D1160" w14:textId="77777777" w:rsidR="00823F13" w:rsidRPr="003F4DE0" w:rsidRDefault="00823F13" w:rsidP="00B16C5D">
      <w:pPr>
        <w:spacing w:after="0" w:line="240" w:lineRule="auto"/>
      </w:pPr>
      <w:r w:rsidRPr="003F4DE0">
        <w:t>Yours sincerely</w:t>
      </w:r>
      <w:r w:rsidR="003206FA" w:rsidRPr="003F4DE0">
        <w:t>,</w:t>
      </w:r>
    </w:p>
    <w:p w14:paraId="075C45AF" w14:textId="77777777" w:rsidR="00B16C5D" w:rsidRPr="003F4DE0" w:rsidRDefault="00B16C5D" w:rsidP="00B16C5D">
      <w:pPr>
        <w:spacing w:after="0" w:line="240" w:lineRule="auto"/>
      </w:pPr>
    </w:p>
    <w:p w14:paraId="76107181" w14:textId="77777777" w:rsidR="003206FA" w:rsidRPr="003F4DE0" w:rsidRDefault="007C5FA1" w:rsidP="00B16C5D">
      <w:pPr>
        <w:spacing w:after="0" w:line="240" w:lineRule="auto"/>
      </w:pPr>
      <w:r w:rsidRPr="003F4DE0">
        <w:t xml:space="preserve">Academic Dean </w:t>
      </w:r>
    </w:p>
    <w:p w14:paraId="79E9F6DB" w14:textId="77777777" w:rsidR="00B16C5D" w:rsidRPr="003F4DE0" w:rsidRDefault="00B16C5D" w:rsidP="00B16C5D">
      <w:pPr>
        <w:spacing w:after="0" w:line="240" w:lineRule="auto"/>
        <w:jc w:val="center"/>
        <w:rPr>
          <w:b/>
        </w:rPr>
      </w:pPr>
    </w:p>
    <w:p w14:paraId="65E7AD56" w14:textId="68D6E74D" w:rsidR="007E6A3B" w:rsidRPr="003F4DE0" w:rsidRDefault="003206FA" w:rsidP="00B16C5D">
      <w:pPr>
        <w:spacing w:after="0" w:line="240" w:lineRule="auto"/>
        <w:jc w:val="center"/>
        <w:rPr>
          <w:b/>
        </w:rPr>
      </w:pPr>
      <w:r w:rsidRPr="003F4DE0">
        <w:rPr>
          <w:b/>
        </w:rPr>
        <w:t>Acceptance of Course Credit Assessment</w:t>
      </w:r>
    </w:p>
    <w:p w14:paraId="03F19915" w14:textId="77777777" w:rsidR="00EF3C06" w:rsidRPr="003F4DE0" w:rsidRDefault="003206FA" w:rsidP="00B16C5D">
      <w:pPr>
        <w:tabs>
          <w:tab w:val="left" w:pos="2241"/>
        </w:tabs>
        <w:spacing w:after="0" w:line="240" w:lineRule="auto"/>
      </w:pPr>
      <w:r w:rsidRPr="003F4DE0">
        <w:t>This statement is to confirm that I</w:t>
      </w:r>
      <w:r w:rsidR="00F947FD" w:rsidRPr="003F4DE0">
        <w:t>,</w:t>
      </w:r>
      <w:r w:rsidRPr="003F4DE0">
        <w:t xml:space="preserve"> </w:t>
      </w:r>
      <w:r w:rsidR="00EF3C06" w:rsidRPr="003F4DE0">
        <w:t>(</w:t>
      </w:r>
      <w:r w:rsidR="00EF3C06" w:rsidRPr="003F4DE0">
        <w:rPr>
          <w:i/>
        </w:rPr>
        <w:t>insert student name here</w:t>
      </w:r>
      <w:r w:rsidR="00EF3C06" w:rsidRPr="003F4DE0">
        <w:t>)</w:t>
      </w:r>
      <w:r w:rsidR="00F947FD" w:rsidRPr="003F4DE0">
        <w:t>,</w:t>
      </w:r>
      <w:r w:rsidR="00EF3C06" w:rsidRPr="003F4DE0">
        <w:t xml:space="preserve"> </w:t>
      </w:r>
      <w:r w:rsidRPr="003F4DE0">
        <w:t>ac</w:t>
      </w:r>
      <w:r w:rsidR="00652727" w:rsidRPr="003F4DE0">
        <w:t xml:space="preserve">cept the Course Credit Outcome </w:t>
      </w:r>
      <w:r w:rsidRPr="003F4DE0">
        <w:t xml:space="preserve">as set out </w:t>
      </w:r>
      <w:r w:rsidR="00EF3C06" w:rsidRPr="003F4DE0">
        <w:t xml:space="preserve">by the </w:t>
      </w:r>
      <w:r w:rsidR="007C5FA1" w:rsidRPr="003F4DE0">
        <w:t>Academic Dean</w:t>
      </w:r>
      <w:r w:rsidR="00EF3C06" w:rsidRPr="003F4DE0">
        <w:t xml:space="preserve"> </w:t>
      </w:r>
      <w:r w:rsidRPr="003F4DE0">
        <w:t xml:space="preserve">in the table </w:t>
      </w:r>
      <w:r w:rsidR="00EF3C06" w:rsidRPr="003F4DE0">
        <w:t>above.</w:t>
      </w:r>
    </w:p>
    <w:p w14:paraId="1FB016D0" w14:textId="77777777" w:rsidR="00B16C5D" w:rsidRPr="003F4DE0" w:rsidRDefault="00B16C5D" w:rsidP="00B16C5D">
      <w:pPr>
        <w:tabs>
          <w:tab w:val="left" w:pos="2241"/>
        </w:tabs>
        <w:spacing w:after="0" w:line="240" w:lineRule="auto"/>
      </w:pPr>
    </w:p>
    <w:p w14:paraId="4167E8BA" w14:textId="77777777" w:rsidR="00B16C5D" w:rsidRPr="003F4DE0" w:rsidRDefault="00B16C5D" w:rsidP="00B16C5D">
      <w:pPr>
        <w:tabs>
          <w:tab w:val="left" w:pos="2241"/>
        </w:tabs>
        <w:spacing w:after="0" w:line="240" w:lineRule="auto"/>
      </w:pPr>
    </w:p>
    <w:p w14:paraId="668A7020" w14:textId="77777777" w:rsidR="008F49A7" w:rsidRPr="003F4DE0" w:rsidRDefault="008F49A7" w:rsidP="00B16C5D">
      <w:pPr>
        <w:tabs>
          <w:tab w:val="left" w:pos="2241"/>
        </w:tabs>
        <w:spacing w:after="0" w:line="240" w:lineRule="auto"/>
      </w:pPr>
      <w:r w:rsidRPr="003F4DE0">
        <w:rPr>
          <w:noProof/>
          <w:lang w:bidi="th-TH"/>
        </w:rPr>
        <mc:AlternateContent>
          <mc:Choice Requires="wps">
            <w:drawing>
              <wp:anchor distT="0" distB="0" distL="114300" distR="114300" simplePos="0" relativeHeight="251661312" behindDoc="0" locked="0" layoutInCell="1" allowOverlap="1" wp14:anchorId="157BC6B5" wp14:editId="4882C679">
                <wp:simplePos x="0" y="0"/>
                <wp:positionH relativeFrom="column">
                  <wp:posOffset>4400794</wp:posOffset>
                </wp:positionH>
                <wp:positionV relativeFrom="paragraph">
                  <wp:posOffset>272268</wp:posOffset>
                </wp:positionV>
                <wp:extent cx="1336431" cy="0"/>
                <wp:effectExtent l="0" t="0" r="16510" b="19050"/>
                <wp:wrapNone/>
                <wp:docPr id="3" name="Straight Connector 3"/>
                <wp:cNvGraphicFramePr/>
                <a:graphic xmlns:a="http://schemas.openxmlformats.org/drawingml/2006/main">
                  <a:graphicData uri="http://schemas.microsoft.com/office/word/2010/wordprocessingShape">
                    <wps:wsp>
                      <wps:cNvCnPr/>
                      <wps:spPr>
                        <a:xfrm>
                          <a:off x="0" y="0"/>
                          <a:ext cx="133643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287AA1A"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5pt,21.45pt" to="451.7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" strokecolor="black [3040]"/>
            </w:pict>
          </mc:Fallback>
        </mc:AlternateContent>
      </w:r>
      <w:r w:rsidRPr="003F4DE0">
        <w:rPr>
          <w:noProof/>
          <w:lang w:bidi="th-TH"/>
        </w:rPr>
        <mc:AlternateContent>
          <mc:Choice Requires="wps">
            <w:drawing>
              <wp:anchor distT="0" distB="0" distL="114300" distR="114300" simplePos="0" relativeHeight="251659264" behindDoc="0" locked="0" layoutInCell="1" allowOverlap="1" wp14:anchorId="5C04FD0D" wp14:editId="466CC78B">
                <wp:simplePos x="0" y="0"/>
                <wp:positionH relativeFrom="column">
                  <wp:posOffset>-11528</wp:posOffset>
                </wp:positionH>
                <wp:positionV relativeFrom="paragraph">
                  <wp:posOffset>289170</wp:posOffset>
                </wp:positionV>
                <wp:extent cx="2502876" cy="0"/>
                <wp:effectExtent l="0" t="0" r="12065" b="19050"/>
                <wp:wrapNone/>
                <wp:docPr id="2" name="Straight Connector 2"/>
                <wp:cNvGraphicFramePr/>
                <a:graphic xmlns:a="http://schemas.openxmlformats.org/drawingml/2006/main">
                  <a:graphicData uri="http://schemas.microsoft.com/office/word/2010/wordprocessingShape">
                    <wps:wsp>
                      <wps:cNvCnPr/>
                      <wps:spPr>
                        <a:xfrm>
                          <a:off x="0" y="0"/>
                          <a:ext cx="250287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82D27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22.75pt" to="196.2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" strokecolor="black [3040]"/>
            </w:pict>
          </mc:Fallback>
        </mc:AlternateContent>
      </w:r>
    </w:p>
    <w:p w14:paraId="5A611A1F" w14:textId="17746225" w:rsidR="00EF3C06" w:rsidRPr="003F4DE0" w:rsidRDefault="008F49A7" w:rsidP="00B16C5D">
      <w:pPr>
        <w:tabs>
          <w:tab w:val="left" w:pos="2241"/>
        </w:tabs>
        <w:spacing w:after="0" w:line="240" w:lineRule="auto"/>
      </w:pPr>
      <w:r w:rsidRPr="003F4DE0">
        <w:t>Student signature                                                                                                   Date</w:t>
      </w:r>
    </w:p>
    <w:p w14:paraId="5A33EF9A" w14:textId="77777777" w:rsidR="00EF3C06" w:rsidRPr="00B16C5D" w:rsidRDefault="00EF3C06" w:rsidP="00B16C5D">
      <w:pPr>
        <w:tabs>
          <w:tab w:val="left" w:pos="2241"/>
        </w:tabs>
        <w:spacing w:after="0" w:line="240" w:lineRule="auto"/>
      </w:pPr>
    </w:p>
    <w:sectPr w:rsidR="00EF3C06" w:rsidRPr="00B16C5D" w:rsidSect="00043293">
      <w:headerReference w:type="default" r:id="rId11"/>
      <w:footerReference w:type="default" r:id="rId12"/>
      <w:pgSz w:w="11906" w:h="16838" w:code="9"/>
      <w:pgMar w:top="1701" w:right="1440" w:bottom="1440" w:left="1440"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98426" w14:textId="77777777" w:rsidR="009555E1" w:rsidRDefault="009555E1">
      <w:r>
        <w:separator/>
      </w:r>
    </w:p>
  </w:endnote>
  <w:endnote w:type="continuationSeparator" w:id="0">
    <w:p w14:paraId="18511861" w14:textId="77777777" w:rsidR="009555E1" w:rsidRDefault="00955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47" w:type="dxa"/>
      <w:tblLook w:val="04A0" w:firstRow="1" w:lastRow="0" w:firstColumn="1" w:lastColumn="0" w:noHBand="0" w:noVBand="1"/>
    </w:tblPr>
    <w:tblGrid>
      <w:gridCol w:w="4614"/>
      <w:gridCol w:w="5133"/>
    </w:tblGrid>
    <w:tr w:rsidR="00805160" w:rsidRPr="00E17C4B" w14:paraId="125246E7" w14:textId="77777777" w:rsidTr="00805160">
      <w:tc>
        <w:tcPr>
          <w:tcW w:w="4614" w:type="dxa"/>
          <w:tcBorders>
            <w:top w:val="single" w:sz="4" w:space="0" w:color="auto"/>
          </w:tcBorders>
        </w:tcPr>
        <w:p w14:paraId="1397F21E" w14:textId="341023AC" w:rsidR="00D96D6A" w:rsidRDefault="00D96D6A" w:rsidP="00D96D6A">
          <w:pPr>
            <w:pStyle w:val="Footer"/>
            <w:tabs>
              <w:tab w:val="clear" w:pos="8306"/>
              <w:tab w:val="right" w:pos="10560"/>
            </w:tabs>
            <w:spacing w:after="0" w:line="240" w:lineRule="auto"/>
            <w:rPr>
              <w:rFonts w:ascii="Perpetua" w:hAnsi="Perpetua" w:cs="Arial"/>
              <w:sz w:val="16"/>
              <w:szCs w:val="16"/>
            </w:rPr>
          </w:pPr>
          <w:r>
            <w:rPr>
              <w:rFonts w:ascii="Perpetua" w:hAnsi="Perpetua" w:cs="Arial"/>
              <w:sz w:val="16"/>
              <w:szCs w:val="16"/>
            </w:rPr>
            <w:t xml:space="preserve">Ozford Institute of Higher Education Pty Ltd </w:t>
          </w:r>
          <w:r w:rsidR="00E3168B">
            <w:rPr>
              <w:rFonts w:ascii="Perpetua" w:hAnsi="Perpetua" w:cs="Arial"/>
              <w:sz w:val="16"/>
              <w:szCs w:val="16"/>
            </w:rPr>
            <w:t>ACN</w:t>
          </w:r>
          <w:r w:rsidR="00844F52">
            <w:rPr>
              <w:rFonts w:ascii="Perpetua" w:hAnsi="Perpetua" w:cs="Arial"/>
              <w:sz w:val="16"/>
              <w:szCs w:val="16"/>
            </w:rPr>
            <w:t xml:space="preserve"> 165 694 351 trading as </w:t>
          </w:r>
          <w:r>
            <w:rPr>
              <w:rFonts w:ascii="Perpetua" w:hAnsi="Perpetua" w:cs="Arial"/>
              <w:sz w:val="16"/>
              <w:szCs w:val="16"/>
            </w:rPr>
            <w:t>Ozford Institute of Higher Education.  CRICOS Provider No: 03429B</w:t>
          </w:r>
        </w:p>
        <w:p w14:paraId="47301255" w14:textId="02279021" w:rsidR="00805160" w:rsidRPr="00E17C4B" w:rsidRDefault="00805160" w:rsidP="00805160">
          <w:pPr>
            <w:pStyle w:val="Footer"/>
            <w:tabs>
              <w:tab w:val="clear" w:pos="8306"/>
              <w:tab w:val="right" w:pos="10560"/>
            </w:tabs>
            <w:spacing w:after="0" w:line="240" w:lineRule="auto"/>
            <w:rPr>
              <w:rFonts w:ascii="Perpetua" w:hAnsi="Perpetua" w:cs="Arial"/>
              <w:sz w:val="16"/>
              <w:szCs w:val="16"/>
            </w:rPr>
          </w:pPr>
          <w:r>
            <w:rPr>
              <w:rFonts w:ascii="Perpetua" w:hAnsi="Perpetua" w:cs="Arial"/>
              <w:sz w:val="16"/>
              <w:szCs w:val="16"/>
            </w:rPr>
            <w:t>Credit Transfer and Articulation</w:t>
          </w:r>
          <w:r w:rsidRPr="00E17C4B">
            <w:rPr>
              <w:rFonts w:ascii="Perpetua" w:hAnsi="Perpetua" w:cs="Arial"/>
              <w:sz w:val="16"/>
              <w:szCs w:val="16"/>
            </w:rPr>
            <w:t xml:space="preserve"> Policy</w:t>
          </w:r>
          <w:r w:rsidR="00C93A38">
            <w:rPr>
              <w:rFonts w:ascii="Perpetua" w:hAnsi="Perpetua" w:cs="Arial"/>
              <w:sz w:val="16"/>
              <w:szCs w:val="16"/>
            </w:rPr>
            <w:t xml:space="preserve"> Ver. 4</w:t>
          </w:r>
        </w:p>
      </w:tc>
      <w:tc>
        <w:tcPr>
          <w:tcW w:w="5133" w:type="dxa"/>
          <w:tcBorders>
            <w:top w:val="single" w:sz="4" w:space="0" w:color="auto"/>
          </w:tcBorders>
        </w:tcPr>
        <w:p w14:paraId="1A3C31E1" w14:textId="77777777" w:rsidR="00805160" w:rsidRPr="00E17C4B" w:rsidRDefault="00805160" w:rsidP="00805160">
          <w:pPr>
            <w:pStyle w:val="Footer"/>
            <w:tabs>
              <w:tab w:val="clear" w:pos="4153"/>
              <w:tab w:val="clear" w:pos="8306"/>
              <w:tab w:val="left" w:pos="3369"/>
              <w:tab w:val="right" w:pos="10560"/>
            </w:tabs>
            <w:spacing w:after="0" w:line="240" w:lineRule="auto"/>
            <w:jc w:val="right"/>
            <w:rPr>
              <w:rFonts w:ascii="Perpetua" w:hAnsi="Perpetua" w:cs="Arial"/>
              <w:sz w:val="16"/>
              <w:szCs w:val="16"/>
            </w:rPr>
          </w:pPr>
        </w:p>
      </w:tc>
    </w:tr>
    <w:tr w:rsidR="00805160" w:rsidRPr="00E17C4B" w14:paraId="5D75B47D" w14:textId="77777777" w:rsidTr="00805160">
      <w:tc>
        <w:tcPr>
          <w:tcW w:w="4614" w:type="dxa"/>
        </w:tcPr>
        <w:p w14:paraId="7976CE4D" w14:textId="37D9AC6E" w:rsidR="00805160" w:rsidRPr="00E17C4B" w:rsidRDefault="00805160" w:rsidP="009A3C74">
          <w:pPr>
            <w:pStyle w:val="Footer"/>
            <w:tabs>
              <w:tab w:val="clear" w:pos="8306"/>
              <w:tab w:val="right" w:pos="10560"/>
            </w:tabs>
            <w:spacing w:after="0" w:line="240" w:lineRule="auto"/>
            <w:rPr>
              <w:rFonts w:ascii="Perpetua" w:hAnsi="Perpetua" w:cs="Arial"/>
              <w:sz w:val="16"/>
              <w:szCs w:val="16"/>
            </w:rPr>
          </w:pPr>
          <w:r>
            <w:rPr>
              <w:rFonts w:ascii="Perpetua" w:hAnsi="Perpetua" w:cs="Arial"/>
              <w:sz w:val="16"/>
              <w:szCs w:val="16"/>
            </w:rPr>
            <w:t>Version Date:</w:t>
          </w:r>
          <w:r w:rsidR="00C93A38">
            <w:rPr>
              <w:rFonts w:ascii="Perpetua" w:hAnsi="Perpetua" w:cs="Arial"/>
              <w:sz w:val="16"/>
              <w:szCs w:val="16"/>
            </w:rPr>
            <w:t xml:space="preserve"> May 2019</w:t>
          </w:r>
        </w:p>
      </w:tc>
      <w:tc>
        <w:tcPr>
          <w:tcW w:w="5133" w:type="dxa"/>
        </w:tcPr>
        <w:p w14:paraId="5DD55DA0" w14:textId="756BD02E" w:rsidR="00805160" w:rsidRPr="00E17C4B" w:rsidRDefault="00844F52" w:rsidP="00805160">
          <w:pPr>
            <w:pStyle w:val="Footer"/>
            <w:tabs>
              <w:tab w:val="clear" w:pos="4153"/>
              <w:tab w:val="clear" w:pos="8306"/>
              <w:tab w:val="left" w:pos="3369"/>
              <w:tab w:val="right" w:pos="10560"/>
            </w:tabs>
            <w:spacing w:after="0" w:line="240" w:lineRule="auto"/>
            <w:jc w:val="right"/>
            <w:rPr>
              <w:rFonts w:ascii="Perpetua" w:hAnsi="Perpetua" w:cs="Arial"/>
              <w:sz w:val="16"/>
              <w:szCs w:val="16"/>
            </w:rPr>
          </w:pPr>
          <w:r w:rsidRPr="00E17C4B">
            <w:rPr>
              <w:rFonts w:ascii="Perpetua" w:hAnsi="Perpetua" w:cs="Arial"/>
              <w:sz w:val="16"/>
              <w:szCs w:val="16"/>
              <w:lang w:val="en-US"/>
            </w:rPr>
            <w:t xml:space="preserve">Page </w:t>
          </w:r>
          <w:r w:rsidRPr="00E17C4B">
            <w:rPr>
              <w:rFonts w:ascii="Perpetua" w:hAnsi="Perpetua" w:cs="Arial"/>
              <w:sz w:val="16"/>
              <w:szCs w:val="16"/>
              <w:lang w:val="en-US"/>
            </w:rPr>
            <w:fldChar w:fldCharType="begin"/>
          </w:r>
          <w:r w:rsidRPr="00E17C4B">
            <w:rPr>
              <w:rFonts w:ascii="Perpetua" w:hAnsi="Perpetua" w:cs="Arial"/>
              <w:sz w:val="16"/>
              <w:szCs w:val="16"/>
              <w:lang w:val="en-US"/>
            </w:rPr>
            <w:instrText xml:space="preserve"> PAGE </w:instrText>
          </w:r>
          <w:r w:rsidRPr="00E17C4B">
            <w:rPr>
              <w:rFonts w:ascii="Perpetua" w:hAnsi="Perpetua" w:cs="Arial"/>
              <w:sz w:val="16"/>
              <w:szCs w:val="16"/>
              <w:lang w:val="en-US"/>
            </w:rPr>
            <w:fldChar w:fldCharType="separate"/>
          </w:r>
          <w:r w:rsidR="007856FD">
            <w:rPr>
              <w:rFonts w:ascii="Perpetua" w:hAnsi="Perpetua" w:cs="Arial"/>
              <w:noProof/>
              <w:sz w:val="16"/>
              <w:szCs w:val="16"/>
              <w:lang w:val="en-US"/>
            </w:rPr>
            <w:t>4</w:t>
          </w:r>
          <w:r w:rsidRPr="00E17C4B">
            <w:rPr>
              <w:rFonts w:ascii="Perpetua" w:hAnsi="Perpetua" w:cs="Arial"/>
              <w:sz w:val="16"/>
              <w:szCs w:val="16"/>
              <w:lang w:val="en-US"/>
            </w:rPr>
            <w:fldChar w:fldCharType="end"/>
          </w:r>
          <w:r w:rsidRPr="00E17C4B">
            <w:rPr>
              <w:rFonts w:ascii="Perpetua" w:hAnsi="Perpetua" w:cs="Arial"/>
              <w:sz w:val="16"/>
              <w:szCs w:val="16"/>
              <w:lang w:val="en-US"/>
            </w:rPr>
            <w:t xml:space="preserve"> of </w:t>
          </w:r>
          <w:r w:rsidRPr="00E17C4B">
            <w:rPr>
              <w:rFonts w:ascii="Perpetua" w:hAnsi="Perpetua" w:cs="Arial"/>
              <w:sz w:val="16"/>
              <w:szCs w:val="16"/>
              <w:lang w:val="en-US"/>
            </w:rPr>
            <w:fldChar w:fldCharType="begin"/>
          </w:r>
          <w:r w:rsidRPr="00E17C4B">
            <w:rPr>
              <w:rFonts w:ascii="Perpetua" w:hAnsi="Perpetua" w:cs="Arial"/>
              <w:sz w:val="16"/>
              <w:szCs w:val="16"/>
              <w:lang w:val="en-US"/>
            </w:rPr>
            <w:instrText xml:space="preserve"> NUMPAGES </w:instrText>
          </w:r>
          <w:r w:rsidRPr="00E17C4B">
            <w:rPr>
              <w:rFonts w:ascii="Perpetua" w:hAnsi="Perpetua" w:cs="Arial"/>
              <w:sz w:val="16"/>
              <w:szCs w:val="16"/>
              <w:lang w:val="en-US"/>
            </w:rPr>
            <w:fldChar w:fldCharType="separate"/>
          </w:r>
          <w:r w:rsidR="007856FD">
            <w:rPr>
              <w:rFonts w:ascii="Perpetua" w:hAnsi="Perpetua" w:cs="Arial"/>
              <w:noProof/>
              <w:sz w:val="16"/>
              <w:szCs w:val="16"/>
              <w:lang w:val="en-US"/>
            </w:rPr>
            <w:t>4</w:t>
          </w:r>
          <w:r w:rsidRPr="00E17C4B">
            <w:rPr>
              <w:rFonts w:ascii="Perpetua" w:hAnsi="Perpetua" w:cs="Arial"/>
              <w:sz w:val="16"/>
              <w:szCs w:val="16"/>
              <w:lang w:val="en-US"/>
            </w:rPr>
            <w:fldChar w:fldCharType="end"/>
          </w:r>
        </w:p>
      </w:tc>
    </w:tr>
  </w:tbl>
  <w:p w14:paraId="2328FF38" w14:textId="77777777" w:rsidR="00805160" w:rsidRPr="00E7502F" w:rsidRDefault="00805160" w:rsidP="003F3086">
    <w:pPr>
      <w:pStyle w:val="Footer"/>
      <w:tabs>
        <w:tab w:val="clear" w:pos="4153"/>
        <w:tab w:val="center" w:pos="6804"/>
      </w:tabs>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DACF6" w14:textId="77777777" w:rsidR="009555E1" w:rsidRDefault="009555E1">
      <w:r>
        <w:separator/>
      </w:r>
    </w:p>
  </w:footnote>
  <w:footnote w:type="continuationSeparator" w:id="0">
    <w:p w14:paraId="508E6715" w14:textId="77777777" w:rsidR="009555E1" w:rsidRDefault="00955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BB089" w14:textId="7466E2CB" w:rsidR="00805160" w:rsidRPr="007C5FA1" w:rsidRDefault="00043293" w:rsidP="007C5FA1">
    <w:pPr>
      <w:pStyle w:val="Header"/>
    </w:pPr>
    <w:r w:rsidRPr="007C5FA1">
      <w:rPr>
        <w:noProof/>
        <w:lang w:eastAsia="en-AU" w:bidi="th-TH"/>
      </w:rPr>
      <w:drawing>
        <wp:anchor distT="0" distB="0" distL="114300" distR="114300" simplePos="0" relativeHeight="251657216" behindDoc="0" locked="0" layoutInCell="1" allowOverlap="1" wp14:anchorId="067AD89B" wp14:editId="0907A2D1">
          <wp:simplePos x="0" y="0"/>
          <wp:positionH relativeFrom="column">
            <wp:posOffset>0</wp:posOffset>
          </wp:positionH>
          <wp:positionV relativeFrom="paragraph">
            <wp:posOffset>59055</wp:posOffset>
          </wp:positionV>
          <wp:extent cx="2089150" cy="592455"/>
          <wp:effectExtent l="0" t="0" r="6350" b="0"/>
          <wp:wrapNone/>
          <wp:docPr id="6" name="Picture 6" descr="http://www.ozford.edu.au/wp-content/uploads/2018/04/2018-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zford.edu.au/wp-content/uploads/2018/04/2018-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150" cy="592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E5CD5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A216B"/>
    <w:multiLevelType w:val="multilevel"/>
    <w:tmpl w:val="98847186"/>
    <w:lvl w:ilvl="0">
      <w:start w:val="8"/>
      <w:numFmt w:val="decimal"/>
      <w:lvlText w:val="%1.0"/>
      <w:lvlJc w:val="left"/>
      <w:pPr>
        <w:ind w:left="360" w:hanging="360"/>
      </w:pPr>
      <w:rPr>
        <w:rFonts w:eastAsiaTheme="minorEastAsia" w:cstheme="minorBidi" w:hint="default"/>
        <w:b w:val="0"/>
      </w:rPr>
    </w:lvl>
    <w:lvl w:ilvl="1">
      <w:start w:val="1"/>
      <w:numFmt w:val="decimal"/>
      <w:lvlText w:val="%1.%2"/>
      <w:lvlJc w:val="left"/>
      <w:pPr>
        <w:ind w:left="1080" w:hanging="360"/>
      </w:pPr>
      <w:rPr>
        <w:rFonts w:eastAsiaTheme="minorEastAsia" w:cstheme="minorBidi" w:hint="default"/>
        <w:b w:val="0"/>
      </w:rPr>
    </w:lvl>
    <w:lvl w:ilvl="2">
      <w:start w:val="1"/>
      <w:numFmt w:val="decimal"/>
      <w:lvlText w:val="%1.%2.%3"/>
      <w:lvlJc w:val="left"/>
      <w:pPr>
        <w:ind w:left="2160" w:hanging="720"/>
      </w:pPr>
      <w:rPr>
        <w:rFonts w:eastAsiaTheme="minorEastAsia" w:cstheme="minorBidi" w:hint="default"/>
        <w:b w:val="0"/>
      </w:rPr>
    </w:lvl>
    <w:lvl w:ilvl="3">
      <w:start w:val="1"/>
      <w:numFmt w:val="decimal"/>
      <w:lvlText w:val="%1.%2.%3.%4"/>
      <w:lvlJc w:val="left"/>
      <w:pPr>
        <w:ind w:left="3240" w:hanging="1080"/>
      </w:pPr>
      <w:rPr>
        <w:rFonts w:eastAsiaTheme="minorEastAsia" w:cstheme="minorBidi" w:hint="default"/>
        <w:b w:val="0"/>
      </w:rPr>
    </w:lvl>
    <w:lvl w:ilvl="4">
      <w:start w:val="1"/>
      <w:numFmt w:val="decimal"/>
      <w:lvlText w:val="%1.%2.%3.%4.%5"/>
      <w:lvlJc w:val="left"/>
      <w:pPr>
        <w:ind w:left="3960" w:hanging="1080"/>
      </w:pPr>
      <w:rPr>
        <w:rFonts w:eastAsiaTheme="minorEastAsia" w:cstheme="minorBidi" w:hint="default"/>
        <w:b w:val="0"/>
      </w:rPr>
    </w:lvl>
    <w:lvl w:ilvl="5">
      <w:start w:val="1"/>
      <w:numFmt w:val="decimal"/>
      <w:lvlText w:val="%1.%2.%3.%4.%5.%6"/>
      <w:lvlJc w:val="left"/>
      <w:pPr>
        <w:ind w:left="5040" w:hanging="1440"/>
      </w:pPr>
      <w:rPr>
        <w:rFonts w:eastAsiaTheme="minorEastAsia" w:cstheme="minorBidi" w:hint="default"/>
        <w:b w:val="0"/>
      </w:rPr>
    </w:lvl>
    <w:lvl w:ilvl="6">
      <w:start w:val="1"/>
      <w:numFmt w:val="decimal"/>
      <w:lvlText w:val="%1.%2.%3.%4.%5.%6.%7"/>
      <w:lvlJc w:val="left"/>
      <w:pPr>
        <w:ind w:left="5760" w:hanging="1440"/>
      </w:pPr>
      <w:rPr>
        <w:rFonts w:eastAsiaTheme="minorEastAsia" w:cstheme="minorBidi" w:hint="default"/>
        <w:b w:val="0"/>
      </w:rPr>
    </w:lvl>
    <w:lvl w:ilvl="7">
      <w:start w:val="1"/>
      <w:numFmt w:val="decimal"/>
      <w:lvlText w:val="%1.%2.%3.%4.%5.%6.%7.%8"/>
      <w:lvlJc w:val="left"/>
      <w:pPr>
        <w:ind w:left="6840" w:hanging="1800"/>
      </w:pPr>
      <w:rPr>
        <w:rFonts w:eastAsiaTheme="minorEastAsia" w:cstheme="minorBidi" w:hint="default"/>
        <w:b w:val="0"/>
      </w:rPr>
    </w:lvl>
    <w:lvl w:ilvl="8">
      <w:start w:val="1"/>
      <w:numFmt w:val="decimal"/>
      <w:lvlText w:val="%1.%2.%3.%4.%5.%6.%7.%8.%9"/>
      <w:lvlJc w:val="left"/>
      <w:pPr>
        <w:ind w:left="7560" w:hanging="1800"/>
      </w:pPr>
      <w:rPr>
        <w:rFonts w:eastAsiaTheme="minorEastAsia" w:cstheme="minorBidi" w:hint="default"/>
        <w:b w:val="0"/>
      </w:rPr>
    </w:lvl>
  </w:abstractNum>
  <w:abstractNum w:abstractNumId="2" w15:restartNumberingAfterBreak="0">
    <w:nsid w:val="02703BB8"/>
    <w:multiLevelType w:val="multilevel"/>
    <w:tmpl w:val="F710DA3E"/>
    <w:lvl w:ilvl="0">
      <w:start w:val="4"/>
      <w:numFmt w:val="decimal"/>
      <w:lvlText w:val="18.%1"/>
      <w:lvlJc w:val="left"/>
      <w:pPr>
        <w:ind w:left="630" w:hanging="360"/>
      </w:pPr>
      <w:rPr>
        <w:rFonts w:hint="default"/>
        <w:b w:val="0"/>
        <w:sz w:val="24"/>
        <w:szCs w:val="24"/>
      </w:rPr>
    </w:lvl>
    <w:lvl w:ilvl="1">
      <w:start w:val="3"/>
      <w:numFmt w:val="decimal"/>
      <w:lvlText w:val="%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8D91F5A"/>
    <w:multiLevelType w:val="multilevel"/>
    <w:tmpl w:val="A344F80A"/>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AD614C"/>
    <w:multiLevelType w:val="multilevel"/>
    <w:tmpl w:val="DFB818AE"/>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CA706E8"/>
    <w:multiLevelType w:val="multilevel"/>
    <w:tmpl w:val="FD08BBE0"/>
    <w:lvl w:ilvl="0">
      <w:start w:val="2"/>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E225DDA"/>
    <w:multiLevelType w:val="multilevel"/>
    <w:tmpl w:val="A0EE71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E8B179A"/>
    <w:multiLevelType w:val="multilevel"/>
    <w:tmpl w:val="09DA59D0"/>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1906CC7"/>
    <w:multiLevelType w:val="multilevel"/>
    <w:tmpl w:val="DE16B59A"/>
    <w:lvl w:ilvl="0">
      <w:start w:val="2"/>
      <w:numFmt w:val="decimal"/>
      <w:lvlText w:val="%1"/>
      <w:lvlJc w:val="left"/>
      <w:pPr>
        <w:ind w:left="405" w:hanging="405"/>
      </w:pPr>
      <w:rPr>
        <w:rFonts w:hint="default"/>
      </w:rPr>
    </w:lvl>
    <w:lvl w:ilvl="1">
      <w:start w:val="2"/>
      <w:numFmt w:val="decimal"/>
      <w:lvlText w:val="%1.%2"/>
      <w:lvlJc w:val="left"/>
      <w:pPr>
        <w:ind w:left="759" w:hanging="405"/>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142B7762"/>
    <w:multiLevelType w:val="multilevel"/>
    <w:tmpl w:val="DFB818A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9939EB"/>
    <w:multiLevelType w:val="multilevel"/>
    <w:tmpl w:val="60F62F76"/>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1EB780F"/>
    <w:multiLevelType w:val="hybridMultilevel"/>
    <w:tmpl w:val="46F469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93127F"/>
    <w:multiLevelType w:val="multilevel"/>
    <w:tmpl w:val="9146A0A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6302741"/>
    <w:multiLevelType w:val="multilevel"/>
    <w:tmpl w:val="451E030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1B2BCA"/>
    <w:multiLevelType w:val="multilevel"/>
    <w:tmpl w:val="956841EE"/>
    <w:lvl w:ilvl="0">
      <w:start w:val="5"/>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29415828"/>
    <w:multiLevelType w:val="multilevel"/>
    <w:tmpl w:val="77486886"/>
    <w:lvl w:ilvl="0">
      <w:start w:val="3"/>
      <w:numFmt w:val="decimal"/>
      <w:lvlText w:val="%1."/>
      <w:lvlJc w:val="left"/>
      <w:pPr>
        <w:ind w:left="720" w:hanging="360"/>
      </w:pPr>
      <w:rPr>
        <w:rFonts w:hint="default"/>
      </w:rPr>
    </w:lvl>
    <w:lvl w:ilvl="1">
      <w:start w:val="4"/>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9BB243D"/>
    <w:multiLevelType w:val="multilevel"/>
    <w:tmpl w:val="9146A0A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A553A01"/>
    <w:multiLevelType w:val="hybridMultilevel"/>
    <w:tmpl w:val="DDF48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1A3E57"/>
    <w:multiLevelType w:val="multilevel"/>
    <w:tmpl w:val="7DCEAD5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93581D"/>
    <w:multiLevelType w:val="multilevel"/>
    <w:tmpl w:val="51383FF4"/>
    <w:lvl w:ilvl="0">
      <w:start w:val="1"/>
      <w:numFmt w:val="decimal"/>
      <w:lvlText w:val="%1."/>
      <w:lvlJc w:val="left"/>
      <w:pPr>
        <w:ind w:left="720" w:hanging="360"/>
      </w:p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E228E3"/>
    <w:multiLevelType w:val="multilevel"/>
    <w:tmpl w:val="C8F4B356"/>
    <w:lvl w:ilvl="0">
      <w:start w:val="1"/>
      <w:numFmt w:val="decimal"/>
      <w:lvlText w:val="%1."/>
      <w:lvlJc w:val="left"/>
      <w:pPr>
        <w:ind w:left="502" w:hanging="360"/>
      </w:pPr>
    </w:lvl>
    <w:lvl w:ilvl="1">
      <w:start w:val="1"/>
      <w:numFmt w:val="decimal"/>
      <w:lvlText w:val="%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1" w15:restartNumberingAfterBreak="0">
    <w:nsid w:val="351A6BDA"/>
    <w:multiLevelType w:val="multilevel"/>
    <w:tmpl w:val="77486886"/>
    <w:lvl w:ilvl="0">
      <w:start w:val="3"/>
      <w:numFmt w:val="decimal"/>
      <w:lvlText w:val="%1."/>
      <w:lvlJc w:val="left"/>
      <w:pPr>
        <w:ind w:left="720" w:hanging="360"/>
      </w:pPr>
      <w:rPr>
        <w:rFonts w:hint="default"/>
      </w:rPr>
    </w:lvl>
    <w:lvl w:ilvl="1">
      <w:start w:val="4"/>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8D51544"/>
    <w:multiLevelType w:val="multilevel"/>
    <w:tmpl w:val="4DD2D3FE"/>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ED37651"/>
    <w:multiLevelType w:val="multilevel"/>
    <w:tmpl w:val="9232FE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340488"/>
    <w:multiLevelType w:val="multilevel"/>
    <w:tmpl w:val="7E366E3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58E0C82"/>
    <w:multiLevelType w:val="hybridMultilevel"/>
    <w:tmpl w:val="3E6E569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6375C6B"/>
    <w:multiLevelType w:val="multilevel"/>
    <w:tmpl w:val="6A24694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6E044A7"/>
    <w:multiLevelType w:val="multilevel"/>
    <w:tmpl w:val="F4363BDA"/>
    <w:lvl w:ilvl="0">
      <w:start w:val="4"/>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930B05"/>
    <w:multiLevelType w:val="multilevel"/>
    <w:tmpl w:val="0A32982E"/>
    <w:lvl w:ilvl="0">
      <w:start w:val="1"/>
      <w:numFmt w:val="decimal"/>
      <w:lvlText w:val="%1."/>
      <w:lvlJc w:val="left"/>
      <w:pPr>
        <w:tabs>
          <w:tab w:val="num" w:pos="570"/>
        </w:tabs>
        <w:ind w:left="570" w:hanging="570"/>
      </w:pPr>
      <w:rPr>
        <w:rFonts w:hint="default"/>
        <w:caps w:val="0"/>
      </w:rPr>
    </w:lvl>
    <w:lvl w:ilvl="1">
      <w:start w:val="1"/>
      <w:numFmt w:val="decimal"/>
      <w:pStyle w:val="CustomHEading2"/>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29" w15:restartNumberingAfterBreak="0">
    <w:nsid w:val="479B508E"/>
    <w:multiLevelType w:val="hybridMultilevel"/>
    <w:tmpl w:val="67B2B374"/>
    <w:lvl w:ilvl="0" w:tplc="8A9ADB22">
      <w:start w:val="8"/>
      <w:numFmt w:val="decimal"/>
      <w:lvlText w:val="%1."/>
      <w:lvlJc w:val="left"/>
      <w:pPr>
        <w:ind w:left="720" w:hanging="360"/>
      </w:pPr>
      <w:rPr>
        <w:rFonts w:eastAsiaTheme="minorEastAsia" w:cstheme="minorBidi"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80A62C5"/>
    <w:multiLevelType w:val="hybridMultilevel"/>
    <w:tmpl w:val="B0903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9A034AE"/>
    <w:multiLevelType w:val="multilevel"/>
    <w:tmpl w:val="122C7DCE"/>
    <w:lvl w:ilvl="0">
      <w:start w:val="6"/>
      <w:numFmt w:val="decimal"/>
      <w:lvlText w:val="%1."/>
      <w:lvlJc w:val="left"/>
      <w:pPr>
        <w:ind w:left="360" w:hanging="360"/>
      </w:pPr>
      <w:rPr>
        <w:rFonts w:eastAsiaTheme="minorEastAsia" w:cstheme="minorBidi"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2" w15:restartNumberingAfterBreak="0">
    <w:nsid w:val="4F3272DF"/>
    <w:multiLevelType w:val="multilevel"/>
    <w:tmpl w:val="D4D824FE"/>
    <w:lvl w:ilvl="0">
      <w:start w:val="4"/>
      <w:numFmt w:val="decimal"/>
      <w:lvlText w:val="%1."/>
      <w:lvlJc w:val="left"/>
      <w:pPr>
        <w:ind w:left="502" w:hanging="360"/>
      </w:pPr>
      <w:rPr>
        <w:rFonts w:hint="default"/>
      </w:rPr>
    </w:lvl>
    <w:lvl w:ilvl="1">
      <w:start w:val="3"/>
      <w:numFmt w:val="decimal"/>
      <w:lvlText w:val="%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3" w15:restartNumberingAfterBreak="0">
    <w:nsid w:val="505B7915"/>
    <w:multiLevelType w:val="multilevel"/>
    <w:tmpl w:val="38F808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05E7BCE"/>
    <w:multiLevelType w:val="hybridMultilevel"/>
    <w:tmpl w:val="D14A9AC2"/>
    <w:lvl w:ilvl="0" w:tplc="F3A824FE">
      <w:start w:val="7"/>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98F0C74"/>
    <w:multiLevelType w:val="multilevel"/>
    <w:tmpl w:val="CFB0229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A466961"/>
    <w:multiLevelType w:val="multilevel"/>
    <w:tmpl w:val="5D3E6764"/>
    <w:lvl w:ilvl="0">
      <w:start w:val="6"/>
      <w:numFmt w:val="decimal"/>
      <w:lvlText w:val="%1."/>
      <w:lvlJc w:val="left"/>
      <w:pPr>
        <w:ind w:left="2344" w:hanging="360"/>
      </w:pPr>
      <w:rPr>
        <w:rFonts w:hint="default"/>
      </w:rPr>
    </w:lvl>
    <w:lvl w:ilvl="1">
      <w:start w:val="1"/>
      <w:numFmt w:val="decimal"/>
      <w:isLgl/>
      <w:lvlText w:val="%1.%2"/>
      <w:lvlJc w:val="left"/>
      <w:pPr>
        <w:ind w:left="2344" w:hanging="360"/>
      </w:pPr>
      <w:rPr>
        <w:rFonts w:hint="default"/>
      </w:rPr>
    </w:lvl>
    <w:lvl w:ilvl="2">
      <w:start w:val="1"/>
      <w:numFmt w:val="decimal"/>
      <w:isLgl/>
      <w:lvlText w:val="%1.%2.%3"/>
      <w:lvlJc w:val="left"/>
      <w:pPr>
        <w:ind w:left="2704" w:hanging="720"/>
      </w:pPr>
      <w:rPr>
        <w:rFonts w:hint="default"/>
      </w:rPr>
    </w:lvl>
    <w:lvl w:ilvl="3">
      <w:start w:val="1"/>
      <w:numFmt w:val="decimal"/>
      <w:isLgl/>
      <w:lvlText w:val="%1.%2.%3.%4"/>
      <w:lvlJc w:val="left"/>
      <w:pPr>
        <w:ind w:left="3064"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424" w:hanging="1440"/>
      </w:pPr>
      <w:rPr>
        <w:rFonts w:hint="default"/>
      </w:rPr>
    </w:lvl>
    <w:lvl w:ilvl="6">
      <w:start w:val="1"/>
      <w:numFmt w:val="decimal"/>
      <w:isLgl/>
      <w:lvlText w:val="%1.%2.%3.%4.%5.%6.%7"/>
      <w:lvlJc w:val="left"/>
      <w:pPr>
        <w:ind w:left="3424" w:hanging="1440"/>
      </w:pPr>
      <w:rPr>
        <w:rFonts w:hint="default"/>
      </w:rPr>
    </w:lvl>
    <w:lvl w:ilvl="7">
      <w:start w:val="1"/>
      <w:numFmt w:val="decimal"/>
      <w:isLgl/>
      <w:lvlText w:val="%1.%2.%3.%4.%5.%6.%7.%8"/>
      <w:lvlJc w:val="left"/>
      <w:pPr>
        <w:ind w:left="3784" w:hanging="1800"/>
      </w:pPr>
      <w:rPr>
        <w:rFonts w:hint="default"/>
      </w:rPr>
    </w:lvl>
    <w:lvl w:ilvl="8">
      <w:start w:val="1"/>
      <w:numFmt w:val="decimal"/>
      <w:isLgl/>
      <w:lvlText w:val="%1.%2.%3.%4.%5.%6.%7.%8.%9"/>
      <w:lvlJc w:val="left"/>
      <w:pPr>
        <w:ind w:left="3784" w:hanging="1800"/>
      </w:pPr>
      <w:rPr>
        <w:rFonts w:hint="default"/>
      </w:rPr>
    </w:lvl>
  </w:abstractNum>
  <w:abstractNum w:abstractNumId="37" w15:restartNumberingAfterBreak="0">
    <w:nsid w:val="5B79796D"/>
    <w:multiLevelType w:val="hybridMultilevel"/>
    <w:tmpl w:val="FD2A01BC"/>
    <w:lvl w:ilvl="0" w:tplc="C0DE81C8">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BB57B15"/>
    <w:multiLevelType w:val="hybridMultilevel"/>
    <w:tmpl w:val="286AF3D2"/>
    <w:lvl w:ilvl="0" w:tplc="77765F02">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F1B489B"/>
    <w:multiLevelType w:val="multilevel"/>
    <w:tmpl w:val="0688DA02"/>
    <w:lvl w:ilvl="0">
      <w:start w:val="1"/>
      <w:numFmt w:val="decimal"/>
      <w:lvlText w:val="18.%1"/>
      <w:lvlJc w:val="left"/>
      <w:pPr>
        <w:ind w:left="630" w:hanging="360"/>
      </w:pPr>
      <w:rPr>
        <w:rFonts w:hint="default"/>
        <w:b w:val="0"/>
        <w:sz w:val="24"/>
        <w:szCs w:val="24"/>
      </w:rPr>
    </w:lvl>
    <w:lvl w:ilvl="1">
      <w:start w:val="3"/>
      <w:numFmt w:val="decimal"/>
      <w:lvlText w:val="%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40" w15:restartNumberingAfterBreak="0">
    <w:nsid w:val="62732114"/>
    <w:multiLevelType w:val="multilevel"/>
    <w:tmpl w:val="60F62F76"/>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64542C21"/>
    <w:multiLevelType w:val="multilevel"/>
    <w:tmpl w:val="33C20F34"/>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67160D03"/>
    <w:multiLevelType w:val="multilevel"/>
    <w:tmpl w:val="641CFAB6"/>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696B7C95"/>
    <w:multiLevelType w:val="multilevel"/>
    <w:tmpl w:val="7B3C0FD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F0601F1"/>
    <w:multiLevelType w:val="multilevel"/>
    <w:tmpl w:val="358A448A"/>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726B454D"/>
    <w:multiLevelType w:val="multilevel"/>
    <w:tmpl w:val="A58A35D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74A1D39"/>
    <w:multiLevelType w:val="hybridMultilevel"/>
    <w:tmpl w:val="AD480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45608D"/>
    <w:multiLevelType w:val="hybridMultilevel"/>
    <w:tmpl w:val="A61872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F2E6558"/>
    <w:multiLevelType w:val="multilevel"/>
    <w:tmpl w:val="3154B6C4"/>
    <w:lvl w:ilvl="0">
      <w:start w:val="2"/>
      <w:numFmt w:val="decimal"/>
      <w:lvlText w:val="%1."/>
      <w:lvlJc w:val="left"/>
      <w:pPr>
        <w:ind w:left="502" w:hanging="360"/>
      </w:pPr>
      <w:rPr>
        <w:rFonts w:hint="default"/>
      </w:rPr>
    </w:lvl>
    <w:lvl w:ilvl="1">
      <w:start w:val="3"/>
      <w:numFmt w:val="decimal"/>
      <w:lvlText w:val="%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0"/>
  </w:num>
  <w:num w:numId="2">
    <w:abstractNumId w:val="28"/>
  </w:num>
  <w:num w:numId="3">
    <w:abstractNumId w:val="42"/>
  </w:num>
  <w:num w:numId="4">
    <w:abstractNumId w:val="19"/>
  </w:num>
  <w:num w:numId="5">
    <w:abstractNumId w:val="21"/>
  </w:num>
  <w:num w:numId="6">
    <w:abstractNumId w:val="15"/>
  </w:num>
  <w:num w:numId="7">
    <w:abstractNumId w:val="6"/>
  </w:num>
  <w:num w:numId="8">
    <w:abstractNumId w:val="5"/>
  </w:num>
  <w:num w:numId="9">
    <w:abstractNumId w:val="26"/>
  </w:num>
  <w:num w:numId="10">
    <w:abstractNumId w:val="24"/>
  </w:num>
  <w:num w:numId="11">
    <w:abstractNumId w:val="20"/>
  </w:num>
  <w:num w:numId="12">
    <w:abstractNumId w:val="11"/>
  </w:num>
  <w:num w:numId="13">
    <w:abstractNumId w:val="47"/>
  </w:num>
  <w:num w:numId="14">
    <w:abstractNumId w:val="7"/>
  </w:num>
  <w:num w:numId="15">
    <w:abstractNumId w:val="37"/>
  </w:num>
  <w:num w:numId="16">
    <w:abstractNumId w:val="41"/>
  </w:num>
  <w:num w:numId="17">
    <w:abstractNumId w:val="23"/>
  </w:num>
  <w:num w:numId="18">
    <w:abstractNumId w:val="34"/>
  </w:num>
  <w:num w:numId="19">
    <w:abstractNumId w:val="22"/>
  </w:num>
  <w:num w:numId="20">
    <w:abstractNumId w:val="35"/>
  </w:num>
  <w:num w:numId="21">
    <w:abstractNumId w:val="44"/>
  </w:num>
  <w:num w:numId="22">
    <w:abstractNumId w:val="33"/>
  </w:num>
  <w:num w:numId="23">
    <w:abstractNumId w:val="30"/>
  </w:num>
  <w:num w:numId="24">
    <w:abstractNumId w:val="38"/>
  </w:num>
  <w:num w:numId="25">
    <w:abstractNumId w:val="17"/>
  </w:num>
  <w:num w:numId="26">
    <w:abstractNumId w:val="46"/>
  </w:num>
  <w:num w:numId="27">
    <w:abstractNumId w:val="8"/>
  </w:num>
  <w:num w:numId="28">
    <w:abstractNumId w:val="18"/>
  </w:num>
  <w:num w:numId="29">
    <w:abstractNumId w:val="14"/>
  </w:num>
  <w:num w:numId="30">
    <w:abstractNumId w:val="10"/>
  </w:num>
  <w:num w:numId="31">
    <w:abstractNumId w:val="40"/>
  </w:num>
  <w:num w:numId="32">
    <w:abstractNumId w:val="9"/>
  </w:num>
  <w:num w:numId="33">
    <w:abstractNumId w:val="4"/>
  </w:num>
  <w:num w:numId="34">
    <w:abstractNumId w:val="36"/>
  </w:num>
  <w:num w:numId="35">
    <w:abstractNumId w:val="45"/>
  </w:num>
  <w:num w:numId="36">
    <w:abstractNumId w:val="13"/>
  </w:num>
  <w:num w:numId="37">
    <w:abstractNumId w:val="27"/>
  </w:num>
  <w:num w:numId="38">
    <w:abstractNumId w:val="25"/>
  </w:num>
  <w:num w:numId="39">
    <w:abstractNumId w:val="1"/>
  </w:num>
  <w:num w:numId="40">
    <w:abstractNumId w:val="29"/>
  </w:num>
  <w:num w:numId="41">
    <w:abstractNumId w:val="3"/>
  </w:num>
  <w:num w:numId="42">
    <w:abstractNumId w:val="48"/>
  </w:num>
  <w:num w:numId="43">
    <w:abstractNumId w:val="32"/>
  </w:num>
  <w:num w:numId="44">
    <w:abstractNumId w:val="39"/>
  </w:num>
  <w:num w:numId="45">
    <w:abstractNumId w:val="2"/>
  </w:num>
  <w:num w:numId="46">
    <w:abstractNumId w:val="12"/>
  </w:num>
  <w:num w:numId="47">
    <w:abstractNumId w:val="16"/>
  </w:num>
  <w:num w:numId="48">
    <w:abstractNumId w:val="31"/>
  </w:num>
  <w:num w:numId="49">
    <w:abstractNumId w:val="4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0D9"/>
    <w:rsid w:val="0000675D"/>
    <w:rsid w:val="0001326A"/>
    <w:rsid w:val="000168FD"/>
    <w:rsid w:val="00020317"/>
    <w:rsid w:val="0002197A"/>
    <w:rsid w:val="00021D3F"/>
    <w:rsid w:val="00023FFF"/>
    <w:rsid w:val="0002656D"/>
    <w:rsid w:val="00033333"/>
    <w:rsid w:val="00041B9F"/>
    <w:rsid w:val="00043293"/>
    <w:rsid w:val="00043A00"/>
    <w:rsid w:val="000501FB"/>
    <w:rsid w:val="000574B5"/>
    <w:rsid w:val="000623C6"/>
    <w:rsid w:val="00063F62"/>
    <w:rsid w:val="00064C50"/>
    <w:rsid w:val="000667F4"/>
    <w:rsid w:val="0007378A"/>
    <w:rsid w:val="000848C7"/>
    <w:rsid w:val="00085C96"/>
    <w:rsid w:val="0008782B"/>
    <w:rsid w:val="00090B14"/>
    <w:rsid w:val="00092E9D"/>
    <w:rsid w:val="00095765"/>
    <w:rsid w:val="00095B6A"/>
    <w:rsid w:val="000962ED"/>
    <w:rsid w:val="000A32A8"/>
    <w:rsid w:val="000B2A3C"/>
    <w:rsid w:val="000B4093"/>
    <w:rsid w:val="000B5F39"/>
    <w:rsid w:val="000B7803"/>
    <w:rsid w:val="000C4EE3"/>
    <w:rsid w:val="000C544D"/>
    <w:rsid w:val="000D02B0"/>
    <w:rsid w:val="000D413B"/>
    <w:rsid w:val="000E391E"/>
    <w:rsid w:val="000F0F40"/>
    <w:rsid w:val="000F12BE"/>
    <w:rsid w:val="000F29F3"/>
    <w:rsid w:val="00111793"/>
    <w:rsid w:val="00111C62"/>
    <w:rsid w:val="00113FE9"/>
    <w:rsid w:val="001161F5"/>
    <w:rsid w:val="0012095F"/>
    <w:rsid w:val="00122286"/>
    <w:rsid w:val="00125B7C"/>
    <w:rsid w:val="00126B3F"/>
    <w:rsid w:val="00132809"/>
    <w:rsid w:val="00134A1A"/>
    <w:rsid w:val="0013508A"/>
    <w:rsid w:val="0014494F"/>
    <w:rsid w:val="001457DC"/>
    <w:rsid w:val="00145D0C"/>
    <w:rsid w:val="00147712"/>
    <w:rsid w:val="00161FE6"/>
    <w:rsid w:val="001650D4"/>
    <w:rsid w:val="00165E66"/>
    <w:rsid w:val="00166645"/>
    <w:rsid w:val="001679C9"/>
    <w:rsid w:val="00170334"/>
    <w:rsid w:val="00170EFB"/>
    <w:rsid w:val="001831DA"/>
    <w:rsid w:val="00184483"/>
    <w:rsid w:val="00186452"/>
    <w:rsid w:val="00187379"/>
    <w:rsid w:val="00193EB3"/>
    <w:rsid w:val="00194712"/>
    <w:rsid w:val="00195922"/>
    <w:rsid w:val="001969E3"/>
    <w:rsid w:val="001A3362"/>
    <w:rsid w:val="001A383A"/>
    <w:rsid w:val="001A43F5"/>
    <w:rsid w:val="001A762E"/>
    <w:rsid w:val="001B2C1E"/>
    <w:rsid w:val="001B2DB3"/>
    <w:rsid w:val="001C0A6C"/>
    <w:rsid w:val="001C1128"/>
    <w:rsid w:val="001C2CA3"/>
    <w:rsid w:val="001E0403"/>
    <w:rsid w:val="001E272F"/>
    <w:rsid w:val="001E6124"/>
    <w:rsid w:val="001F2945"/>
    <w:rsid w:val="001F66C9"/>
    <w:rsid w:val="001F7A16"/>
    <w:rsid w:val="00201B73"/>
    <w:rsid w:val="002233B0"/>
    <w:rsid w:val="002235B6"/>
    <w:rsid w:val="0022366D"/>
    <w:rsid w:val="002342DA"/>
    <w:rsid w:val="00240361"/>
    <w:rsid w:val="002418DB"/>
    <w:rsid w:val="00243FB3"/>
    <w:rsid w:val="002449C6"/>
    <w:rsid w:val="0024690C"/>
    <w:rsid w:val="00246C8E"/>
    <w:rsid w:val="00261CAC"/>
    <w:rsid w:val="00261F3E"/>
    <w:rsid w:val="0027292D"/>
    <w:rsid w:val="00272C53"/>
    <w:rsid w:val="00272CE4"/>
    <w:rsid w:val="0027687D"/>
    <w:rsid w:val="00280472"/>
    <w:rsid w:val="002819FF"/>
    <w:rsid w:val="00284A3D"/>
    <w:rsid w:val="00287DE4"/>
    <w:rsid w:val="00293397"/>
    <w:rsid w:val="002A0383"/>
    <w:rsid w:val="002A2874"/>
    <w:rsid w:val="002A2C50"/>
    <w:rsid w:val="002A5651"/>
    <w:rsid w:val="002A6AA2"/>
    <w:rsid w:val="002B053D"/>
    <w:rsid w:val="002B1AF8"/>
    <w:rsid w:val="002B3F0B"/>
    <w:rsid w:val="002B3FD6"/>
    <w:rsid w:val="002B533E"/>
    <w:rsid w:val="002B756C"/>
    <w:rsid w:val="002B7EB5"/>
    <w:rsid w:val="002C0A26"/>
    <w:rsid w:val="002C18BA"/>
    <w:rsid w:val="002D1072"/>
    <w:rsid w:val="002D1B78"/>
    <w:rsid w:val="002D294E"/>
    <w:rsid w:val="002D5ACF"/>
    <w:rsid w:val="002D7B77"/>
    <w:rsid w:val="002E0392"/>
    <w:rsid w:val="002E4620"/>
    <w:rsid w:val="002E5C61"/>
    <w:rsid w:val="002E63D0"/>
    <w:rsid w:val="002E71A8"/>
    <w:rsid w:val="002F0496"/>
    <w:rsid w:val="002F224E"/>
    <w:rsid w:val="002F507E"/>
    <w:rsid w:val="002F5EE9"/>
    <w:rsid w:val="00304549"/>
    <w:rsid w:val="00310DB8"/>
    <w:rsid w:val="003134C8"/>
    <w:rsid w:val="003206FA"/>
    <w:rsid w:val="003218C3"/>
    <w:rsid w:val="00326B6D"/>
    <w:rsid w:val="00326EEB"/>
    <w:rsid w:val="0034016D"/>
    <w:rsid w:val="003458F5"/>
    <w:rsid w:val="00347F8E"/>
    <w:rsid w:val="00352419"/>
    <w:rsid w:val="003578D8"/>
    <w:rsid w:val="00374F7D"/>
    <w:rsid w:val="003771E3"/>
    <w:rsid w:val="00381013"/>
    <w:rsid w:val="00384925"/>
    <w:rsid w:val="00394264"/>
    <w:rsid w:val="00396CAE"/>
    <w:rsid w:val="00396DFB"/>
    <w:rsid w:val="003A2BEA"/>
    <w:rsid w:val="003A5B60"/>
    <w:rsid w:val="003C67F5"/>
    <w:rsid w:val="003C682E"/>
    <w:rsid w:val="003D19CD"/>
    <w:rsid w:val="003D52CD"/>
    <w:rsid w:val="003D7472"/>
    <w:rsid w:val="003E0B3E"/>
    <w:rsid w:val="003E243B"/>
    <w:rsid w:val="003E558A"/>
    <w:rsid w:val="003E5D96"/>
    <w:rsid w:val="003F3086"/>
    <w:rsid w:val="003F4DE0"/>
    <w:rsid w:val="003F664E"/>
    <w:rsid w:val="004000E1"/>
    <w:rsid w:val="00405374"/>
    <w:rsid w:val="0041164E"/>
    <w:rsid w:val="00411665"/>
    <w:rsid w:val="00411875"/>
    <w:rsid w:val="00414211"/>
    <w:rsid w:val="0041440C"/>
    <w:rsid w:val="00416FF5"/>
    <w:rsid w:val="004275CB"/>
    <w:rsid w:val="0043193E"/>
    <w:rsid w:val="00431ED9"/>
    <w:rsid w:val="004367FD"/>
    <w:rsid w:val="004379AA"/>
    <w:rsid w:val="00437E68"/>
    <w:rsid w:val="0044443B"/>
    <w:rsid w:val="00446126"/>
    <w:rsid w:val="00450ACE"/>
    <w:rsid w:val="004539FC"/>
    <w:rsid w:val="004604B9"/>
    <w:rsid w:val="00461BB9"/>
    <w:rsid w:val="004657B6"/>
    <w:rsid w:val="00474A46"/>
    <w:rsid w:val="00474FF5"/>
    <w:rsid w:val="00484CD7"/>
    <w:rsid w:val="00484CEA"/>
    <w:rsid w:val="0048613F"/>
    <w:rsid w:val="0049394F"/>
    <w:rsid w:val="00495C41"/>
    <w:rsid w:val="00497B78"/>
    <w:rsid w:val="004A3DF6"/>
    <w:rsid w:val="004B0D61"/>
    <w:rsid w:val="004B5AF2"/>
    <w:rsid w:val="004B5E8F"/>
    <w:rsid w:val="004B6B77"/>
    <w:rsid w:val="004D5632"/>
    <w:rsid w:val="004D6993"/>
    <w:rsid w:val="004E1C8C"/>
    <w:rsid w:val="00500E1A"/>
    <w:rsid w:val="00505137"/>
    <w:rsid w:val="005061A7"/>
    <w:rsid w:val="00506250"/>
    <w:rsid w:val="005076BB"/>
    <w:rsid w:val="0051004D"/>
    <w:rsid w:val="005147C6"/>
    <w:rsid w:val="00515ADA"/>
    <w:rsid w:val="00516A82"/>
    <w:rsid w:val="00517904"/>
    <w:rsid w:val="00517F6E"/>
    <w:rsid w:val="00521797"/>
    <w:rsid w:val="005223DC"/>
    <w:rsid w:val="00522B8F"/>
    <w:rsid w:val="00524CFB"/>
    <w:rsid w:val="00526D2E"/>
    <w:rsid w:val="0053062E"/>
    <w:rsid w:val="00532AAD"/>
    <w:rsid w:val="00537826"/>
    <w:rsid w:val="00540C27"/>
    <w:rsid w:val="005457B2"/>
    <w:rsid w:val="00546452"/>
    <w:rsid w:val="00546A23"/>
    <w:rsid w:val="00546F68"/>
    <w:rsid w:val="00547101"/>
    <w:rsid w:val="005607E2"/>
    <w:rsid w:val="00560908"/>
    <w:rsid w:val="00562ABB"/>
    <w:rsid w:val="00570E6F"/>
    <w:rsid w:val="005740C1"/>
    <w:rsid w:val="00581324"/>
    <w:rsid w:val="005814B9"/>
    <w:rsid w:val="00582DE8"/>
    <w:rsid w:val="005845E9"/>
    <w:rsid w:val="00596AB8"/>
    <w:rsid w:val="005B2DF0"/>
    <w:rsid w:val="005B50CF"/>
    <w:rsid w:val="005B786F"/>
    <w:rsid w:val="005C36E1"/>
    <w:rsid w:val="005C7299"/>
    <w:rsid w:val="005E791A"/>
    <w:rsid w:val="005F2476"/>
    <w:rsid w:val="005F3A85"/>
    <w:rsid w:val="005F5B15"/>
    <w:rsid w:val="00601EE9"/>
    <w:rsid w:val="00621FA8"/>
    <w:rsid w:val="00626982"/>
    <w:rsid w:val="00633B37"/>
    <w:rsid w:val="006349B3"/>
    <w:rsid w:val="006349E4"/>
    <w:rsid w:val="0063504A"/>
    <w:rsid w:val="00636862"/>
    <w:rsid w:val="00641079"/>
    <w:rsid w:val="00643FE0"/>
    <w:rsid w:val="0064519D"/>
    <w:rsid w:val="0065030D"/>
    <w:rsid w:val="00652727"/>
    <w:rsid w:val="00653543"/>
    <w:rsid w:val="0065718F"/>
    <w:rsid w:val="00657977"/>
    <w:rsid w:val="0066306D"/>
    <w:rsid w:val="0066357B"/>
    <w:rsid w:val="006762A7"/>
    <w:rsid w:val="00677928"/>
    <w:rsid w:val="0068028D"/>
    <w:rsid w:val="00681290"/>
    <w:rsid w:val="00687938"/>
    <w:rsid w:val="00693F39"/>
    <w:rsid w:val="0069546E"/>
    <w:rsid w:val="006977B0"/>
    <w:rsid w:val="006A1820"/>
    <w:rsid w:val="006A3BCA"/>
    <w:rsid w:val="006A478C"/>
    <w:rsid w:val="006B1774"/>
    <w:rsid w:val="006B32D6"/>
    <w:rsid w:val="006B679C"/>
    <w:rsid w:val="006C013C"/>
    <w:rsid w:val="006C26AD"/>
    <w:rsid w:val="006D23C2"/>
    <w:rsid w:val="006D2573"/>
    <w:rsid w:val="006D5DAD"/>
    <w:rsid w:val="006E3DA4"/>
    <w:rsid w:val="006E5541"/>
    <w:rsid w:val="006E5BD3"/>
    <w:rsid w:val="006E655F"/>
    <w:rsid w:val="006F15BE"/>
    <w:rsid w:val="006F28D2"/>
    <w:rsid w:val="006F5216"/>
    <w:rsid w:val="006F53AE"/>
    <w:rsid w:val="00702232"/>
    <w:rsid w:val="00705462"/>
    <w:rsid w:val="00706C0E"/>
    <w:rsid w:val="00714A75"/>
    <w:rsid w:val="007157AD"/>
    <w:rsid w:val="00715AF5"/>
    <w:rsid w:val="00720192"/>
    <w:rsid w:val="00723FB3"/>
    <w:rsid w:val="00724008"/>
    <w:rsid w:val="00724675"/>
    <w:rsid w:val="0072705B"/>
    <w:rsid w:val="00740BDF"/>
    <w:rsid w:val="00741E3C"/>
    <w:rsid w:val="0074600E"/>
    <w:rsid w:val="00747D25"/>
    <w:rsid w:val="00753867"/>
    <w:rsid w:val="00754458"/>
    <w:rsid w:val="00755120"/>
    <w:rsid w:val="00757917"/>
    <w:rsid w:val="00764A0C"/>
    <w:rsid w:val="007653C8"/>
    <w:rsid w:val="00766B60"/>
    <w:rsid w:val="00775885"/>
    <w:rsid w:val="00780B46"/>
    <w:rsid w:val="00780D74"/>
    <w:rsid w:val="007845E7"/>
    <w:rsid w:val="007856FD"/>
    <w:rsid w:val="00791AA3"/>
    <w:rsid w:val="00792D75"/>
    <w:rsid w:val="00794D97"/>
    <w:rsid w:val="00794E15"/>
    <w:rsid w:val="00796BD6"/>
    <w:rsid w:val="007978D7"/>
    <w:rsid w:val="007A1DD7"/>
    <w:rsid w:val="007A76B5"/>
    <w:rsid w:val="007B1A9B"/>
    <w:rsid w:val="007B3CC4"/>
    <w:rsid w:val="007B75C3"/>
    <w:rsid w:val="007C0644"/>
    <w:rsid w:val="007C5FA1"/>
    <w:rsid w:val="007C74F6"/>
    <w:rsid w:val="007D11AB"/>
    <w:rsid w:val="007D1CF4"/>
    <w:rsid w:val="007D3EAD"/>
    <w:rsid w:val="007D49AA"/>
    <w:rsid w:val="007D6AC1"/>
    <w:rsid w:val="007D79E4"/>
    <w:rsid w:val="007E0538"/>
    <w:rsid w:val="007E3132"/>
    <w:rsid w:val="007E4EA3"/>
    <w:rsid w:val="007E6A3B"/>
    <w:rsid w:val="007F3E07"/>
    <w:rsid w:val="007F56D9"/>
    <w:rsid w:val="007F6111"/>
    <w:rsid w:val="007F7FC0"/>
    <w:rsid w:val="008020E2"/>
    <w:rsid w:val="00805160"/>
    <w:rsid w:val="0080562C"/>
    <w:rsid w:val="00810C01"/>
    <w:rsid w:val="00812D8C"/>
    <w:rsid w:val="00816E91"/>
    <w:rsid w:val="00816EAC"/>
    <w:rsid w:val="00817C9E"/>
    <w:rsid w:val="00823F13"/>
    <w:rsid w:val="00826C75"/>
    <w:rsid w:val="0082755C"/>
    <w:rsid w:val="008302B9"/>
    <w:rsid w:val="00832F9F"/>
    <w:rsid w:val="00833FD3"/>
    <w:rsid w:val="00835399"/>
    <w:rsid w:val="00842D7C"/>
    <w:rsid w:val="0084456D"/>
    <w:rsid w:val="00844EA3"/>
    <w:rsid w:val="00844F52"/>
    <w:rsid w:val="008511CE"/>
    <w:rsid w:val="008530F3"/>
    <w:rsid w:val="0085436E"/>
    <w:rsid w:val="00855F28"/>
    <w:rsid w:val="00860C11"/>
    <w:rsid w:val="00862B37"/>
    <w:rsid w:val="00863D60"/>
    <w:rsid w:val="0086705D"/>
    <w:rsid w:val="00873851"/>
    <w:rsid w:val="00880F2C"/>
    <w:rsid w:val="00881BAA"/>
    <w:rsid w:val="00883C6F"/>
    <w:rsid w:val="00885A9D"/>
    <w:rsid w:val="00886540"/>
    <w:rsid w:val="0089097B"/>
    <w:rsid w:val="00893854"/>
    <w:rsid w:val="008977CE"/>
    <w:rsid w:val="008A3CBD"/>
    <w:rsid w:val="008A40EA"/>
    <w:rsid w:val="008A585E"/>
    <w:rsid w:val="008B1AD3"/>
    <w:rsid w:val="008B39A3"/>
    <w:rsid w:val="008B701D"/>
    <w:rsid w:val="008C0D58"/>
    <w:rsid w:val="008C1F66"/>
    <w:rsid w:val="008C268F"/>
    <w:rsid w:val="008D40D7"/>
    <w:rsid w:val="008D4244"/>
    <w:rsid w:val="008D4EAF"/>
    <w:rsid w:val="008D5BB7"/>
    <w:rsid w:val="008E31E3"/>
    <w:rsid w:val="008E3426"/>
    <w:rsid w:val="008E623C"/>
    <w:rsid w:val="008F1284"/>
    <w:rsid w:val="008F49A7"/>
    <w:rsid w:val="008F54A8"/>
    <w:rsid w:val="008F6339"/>
    <w:rsid w:val="008F6C5D"/>
    <w:rsid w:val="00902A40"/>
    <w:rsid w:val="00902DF8"/>
    <w:rsid w:val="00911495"/>
    <w:rsid w:val="009148CE"/>
    <w:rsid w:val="00915B87"/>
    <w:rsid w:val="00916D0B"/>
    <w:rsid w:val="009206D3"/>
    <w:rsid w:val="0092301A"/>
    <w:rsid w:val="00925A3A"/>
    <w:rsid w:val="00927957"/>
    <w:rsid w:val="00930FC9"/>
    <w:rsid w:val="00931C63"/>
    <w:rsid w:val="009351D3"/>
    <w:rsid w:val="009457F9"/>
    <w:rsid w:val="00945C2A"/>
    <w:rsid w:val="00946220"/>
    <w:rsid w:val="00946589"/>
    <w:rsid w:val="009555E1"/>
    <w:rsid w:val="0095796A"/>
    <w:rsid w:val="00963ACF"/>
    <w:rsid w:val="00966423"/>
    <w:rsid w:val="00967B3F"/>
    <w:rsid w:val="00980748"/>
    <w:rsid w:val="009826CE"/>
    <w:rsid w:val="00986E1B"/>
    <w:rsid w:val="0099409C"/>
    <w:rsid w:val="009A12CF"/>
    <w:rsid w:val="009A3C74"/>
    <w:rsid w:val="009C0CAD"/>
    <w:rsid w:val="009C38DA"/>
    <w:rsid w:val="009C63BA"/>
    <w:rsid w:val="009C750A"/>
    <w:rsid w:val="009C7BF1"/>
    <w:rsid w:val="009D02B6"/>
    <w:rsid w:val="009D19FC"/>
    <w:rsid w:val="009D31AA"/>
    <w:rsid w:val="009D4604"/>
    <w:rsid w:val="009D79B1"/>
    <w:rsid w:val="009F0FF1"/>
    <w:rsid w:val="009F48D7"/>
    <w:rsid w:val="009F7720"/>
    <w:rsid w:val="00A03E63"/>
    <w:rsid w:val="00A03FF8"/>
    <w:rsid w:val="00A04CCC"/>
    <w:rsid w:val="00A0504A"/>
    <w:rsid w:val="00A06904"/>
    <w:rsid w:val="00A177FC"/>
    <w:rsid w:val="00A20280"/>
    <w:rsid w:val="00A20A97"/>
    <w:rsid w:val="00A32B05"/>
    <w:rsid w:val="00A34635"/>
    <w:rsid w:val="00A40BB5"/>
    <w:rsid w:val="00A42824"/>
    <w:rsid w:val="00A464FA"/>
    <w:rsid w:val="00A5043F"/>
    <w:rsid w:val="00A5182E"/>
    <w:rsid w:val="00A557BD"/>
    <w:rsid w:val="00A60AB8"/>
    <w:rsid w:val="00A619C7"/>
    <w:rsid w:val="00A62490"/>
    <w:rsid w:val="00A6489A"/>
    <w:rsid w:val="00A76C13"/>
    <w:rsid w:val="00A77C04"/>
    <w:rsid w:val="00A82D75"/>
    <w:rsid w:val="00A82F8F"/>
    <w:rsid w:val="00A848F4"/>
    <w:rsid w:val="00A85022"/>
    <w:rsid w:val="00A869E6"/>
    <w:rsid w:val="00A9050A"/>
    <w:rsid w:val="00AB0069"/>
    <w:rsid w:val="00AB13FC"/>
    <w:rsid w:val="00AB6C4F"/>
    <w:rsid w:val="00AB784B"/>
    <w:rsid w:val="00AC221C"/>
    <w:rsid w:val="00AC2B1C"/>
    <w:rsid w:val="00AD07D2"/>
    <w:rsid w:val="00AD1878"/>
    <w:rsid w:val="00AD43B1"/>
    <w:rsid w:val="00AE1118"/>
    <w:rsid w:val="00AE6F1F"/>
    <w:rsid w:val="00AF25FB"/>
    <w:rsid w:val="00AF37D5"/>
    <w:rsid w:val="00AF4189"/>
    <w:rsid w:val="00AF62A9"/>
    <w:rsid w:val="00AF723D"/>
    <w:rsid w:val="00B0238C"/>
    <w:rsid w:val="00B10056"/>
    <w:rsid w:val="00B16C5D"/>
    <w:rsid w:val="00B27EEB"/>
    <w:rsid w:val="00B33D64"/>
    <w:rsid w:val="00B34D13"/>
    <w:rsid w:val="00B35FB8"/>
    <w:rsid w:val="00B41E1C"/>
    <w:rsid w:val="00B472A5"/>
    <w:rsid w:val="00B4759D"/>
    <w:rsid w:val="00B559EF"/>
    <w:rsid w:val="00B55F85"/>
    <w:rsid w:val="00B61AC7"/>
    <w:rsid w:val="00B64C7B"/>
    <w:rsid w:val="00B66CBA"/>
    <w:rsid w:val="00B70DD9"/>
    <w:rsid w:val="00B71A57"/>
    <w:rsid w:val="00B82313"/>
    <w:rsid w:val="00B82435"/>
    <w:rsid w:val="00B84DB5"/>
    <w:rsid w:val="00B85A91"/>
    <w:rsid w:val="00B8613F"/>
    <w:rsid w:val="00B86B55"/>
    <w:rsid w:val="00B929BB"/>
    <w:rsid w:val="00BA24BE"/>
    <w:rsid w:val="00BA39D3"/>
    <w:rsid w:val="00BA4F1B"/>
    <w:rsid w:val="00BA7D1E"/>
    <w:rsid w:val="00BB416E"/>
    <w:rsid w:val="00BB49A7"/>
    <w:rsid w:val="00BB5BAF"/>
    <w:rsid w:val="00BB7175"/>
    <w:rsid w:val="00BC0F6D"/>
    <w:rsid w:val="00BC3300"/>
    <w:rsid w:val="00BC50C1"/>
    <w:rsid w:val="00BC67FC"/>
    <w:rsid w:val="00BC6978"/>
    <w:rsid w:val="00BC7428"/>
    <w:rsid w:val="00BC7A77"/>
    <w:rsid w:val="00BD070F"/>
    <w:rsid w:val="00BD4CBB"/>
    <w:rsid w:val="00BE275D"/>
    <w:rsid w:val="00BE314E"/>
    <w:rsid w:val="00BF01F1"/>
    <w:rsid w:val="00BF0C20"/>
    <w:rsid w:val="00BF0F81"/>
    <w:rsid w:val="00BF1299"/>
    <w:rsid w:val="00C0540C"/>
    <w:rsid w:val="00C05D05"/>
    <w:rsid w:val="00C0705D"/>
    <w:rsid w:val="00C115E1"/>
    <w:rsid w:val="00C1576F"/>
    <w:rsid w:val="00C158A2"/>
    <w:rsid w:val="00C178C9"/>
    <w:rsid w:val="00C21BCB"/>
    <w:rsid w:val="00C245CA"/>
    <w:rsid w:val="00C258B8"/>
    <w:rsid w:val="00C313AC"/>
    <w:rsid w:val="00C332A4"/>
    <w:rsid w:val="00C33716"/>
    <w:rsid w:val="00C36989"/>
    <w:rsid w:val="00C43652"/>
    <w:rsid w:val="00C448F7"/>
    <w:rsid w:val="00C4647B"/>
    <w:rsid w:val="00C50870"/>
    <w:rsid w:val="00C50A1F"/>
    <w:rsid w:val="00C56C9C"/>
    <w:rsid w:val="00C60F2C"/>
    <w:rsid w:val="00C6259E"/>
    <w:rsid w:val="00C65403"/>
    <w:rsid w:val="00C71690"/>
    <w:rsid w:val="00C738F3"/>
    <w:rsid w:val="00C762CF"/>
    <w:rsid w:val="00C76D1C"/>
    <w:rsid w:val="00C8484F"/>
    <w:rsid w:val="00C84B7C"/>
    <w:rsid w:val="00C86B98"/>
    <w:rsid w:val="00C93A38"/>
    <w:rsid w:val="00CA1EAC"/>
    <w:rsid w:val="00CA3E2C"/>
    <w:rsid w:val="00CB157D"/>
    <w:rsid w:val="00CB185A"/>
    <w:rsid w:val="00CB690F"/>
    <w:rsid w:val="00CC31E3"/>
    <w:rsid w:val="00CC5BFC"/>
    <w:rsid w:val="00CD3138"/>
    <w:rsid w:val="00CE3B1D"/>
    <w:rsid w:val="00CE42A9"/>
    <w:rsid w:val="00CF0319"/>
    <w:rsid w:val="00CF3462"/>
    <w:rsid w:val="00CF38BA"/>
    <w:rsid w:val="00CF75CA"/>
    <w:rsid w:val="00D0248C"/>
    <w:rsid w:val="00D02FBE"/>
    <w:rsid w:val="00D03C13"/>
    <w:rsid w:val="00D040C7"/>
    <w:rsid w:val="00D047CD"/>
    <w:rsid w:val="00D05D2C"/>
    <w:rsid w:val="00D06CB7"/>
    <w:rsid w:val="00D10D24"/>
    <w:rsid w:val="00D219BC"/>
    <w:rsid w:val="00D22231"/>
    <w:rsid w:val="00D2236E"/>
    <w:rsid w:val="00D22C88"/>
    <w:rsid w:val="00D231E0"/>
    <w:rsid w:val="00D2648D"/>
    <w:rsid w:val="00D321C9"/>
    <w:rsid w:val="00D3247B"/>
    <w:rsid w:val="00D36A6F"/>
    <w:rsid w:val="00D47A58"/>
    <w:rsid w:val="00D516E3"/>
    <w:rsid w:val="00D5253F"/>
    <w:rsid w:val="00D52CAC"/>
    <w:rsid w:val="00D538AE"/>
    <w:rsid w:val="00D555F9"/>
    <w:rsid w:val="00D55BC3"/>
    <w:rsid w:val="00D614DF"/>
    <w:rsid w:val="00D6517D"/>
    <w:rsid w:val="00D859A2"/>
    <w:rsid w:val="00D85A0A"/>
    <w:rsid w:val="00D85F00"/>
    <w:rsid w:val="00D876D1"/>
    <w:rsid w:val="00D9114F"/>
    <w:rsid w:val="00D920FB"/>
    <w:rsid w:val="00D96309"/>
    <w:rsid w:val="00D96726"/>
    <w:rsid w:val="00D96D6A"/>
    <w:rsid w:val="00DA15A3"/>
    <w:rsid w:val="00DB0479"/>
    <w:rsid w:val="00DB16B9"/>
    <w:rsid w:val="00DB4612"/>
    <w:rsid w:val="00DC2DFC"/>
    <w:rsid w:val="00DC7EE4"/>
    <w:rsid w:val="00DD30D9"/>
    <w:rsid w:val="00DF6C5D"/>
    <w:rsid w:val="00E00460"/>
    <w:rsid w:val="00E06C1F"/>
    <w:rsid w:val="00E1056B"/>
    <w:rsid w:val="00E125EB"/>
    <w:rsid w:val="00E15427"/>
    <w:rsid w:val="00E20578"/>
    <w:rsid w:val="00E222F1"/>
    <w:rsid w:val="00E273B6"/>
    <w:rsid w:val="00E31309"/>
    <w:rsid w:val="00E3168B"/>
    <w:rsid w:val="00E322A2"/>
    <w:rsid w:val="00E34B2B"/>
    <w:rsid w:val="00E36743"/>
    <w:rsid w:val="00E368A1"/>
    <w:rsid w:val="00E443E4"/>
    <w:rsid w:val="00E45FBA"/>
    <w:rsid w:val="00E52DA6"/>
    <w:rsid w:val="00E52F57"/>
    <w:rsid w:val="00E53105"/>
    <w:rsid w:val="00E54794"/>
    <w:rsid w:val="00E54CAA"/>
    <w:rsid w:val="00E56164"/>
    <w:rsid w:val="00E63649"/>
    <w:rsid w:val="00E675D1"/>
    <w:rsid w:val="00E677D2"/>
    <w:rsid w:val="00E7428D"/>
    <w:rsid w:val="00E74827"/>
    <w:rsid w:val="00E7502F"/>
    <w:rsid w:val="00E75525"/>
    <w:rsid w:val="00E77601"/>
    <w:rsid w:val="00E81B11"/>
    <w:rsid w:val="00E8319B"/>
    <w:rsid w:val="00E83896"/>
    <w:rsid w:val="00E864AF"/>
    <w:rsid w:val="00E93BAC"/>
    <w:rsid w:val="00E9708D"/>
    <w:rsid w:val="00E97F61"/>
    <w:rsid w:val="00EA198C"/>
    <w:rsid w:val="00EA5043"/>
    <w:rsid w:val="00EA79C7"/>
    <w:rsid w:val="00EB591A"/>
    <w:rsid w:val="00EB6D40"/>
    <w:rsid w:val="00EC0162"/>
    <w:rsid w:val="00EC4C93"/>
    <w:rsid w:val="00ED0BA7"/>
    <w:rsid w:val="00ED19DC"/>
    <w:rsid w:val="00ED27FE"/>
    <w:rsid w:val="00EE107B"/>
    <w:rsid w:val="00EE30B7"/>
    <w:rsid w:val="00EE4F80"/>
    <w:rsid w:val="00EF0DDB"/>
    <w:rsid w:val="00EF3C06"/>
    <w:rsid w:val="00EF7145"/>
    <w:rsid w:val="00EF730A"/>
    <w:rsid w:val="00F147C2"/>
    <w:rsid w:val="00F16F04"/>
    <w:rsid w:val="00F33C08"/>
    <w:rsid w:val="00F47F09"/>
    <w:rsid w:val="00F549A3"/>
    <w:rsid w:val="00F61824"/>
    <w:rsid w:val="00F62D80"/>
    <w:rsid w:val="00F63503"/>
    <w:rsid w:val="00F63B24"/>
    <w:rsid w:val="00F660A5"/>
    <w:rsid w:val="00F87704"/>
    <w:rsid w:val="00F90CC8"/>
    <w:rsid w:val="00F947FD"/>
    <w:rsid w:val="00F96B41"/>
    <w:rsid w:val="00FA1843"/>
    <w:rsid w:val="00FA2299"/>
    <w:rsid w:val="00FB4A72"/>
    <w:rsid w:val="00FB58A1"/>
    <w:rsid w:val="00FC1BE8"/>
    <w:rsid w:val="00FC4B0A"/>
    <w:rsid w:val="00FC4C59"/>
    <w:rsid w:val="00FD07C0"/>
    <w:rsid w:val="00FD2EE6"/>
    <w:rsid w:val="00FD382F"/>
    <w:rsid w:val="00FD77A2"/>
    <w:rsid w:val="00FE12B1"/>
    <w:rsid w:val="00FE4F0C"/>
    <w:rsid w:val="00FE6700"/>
    <w:rsid w:val="00FF00D2"/>
    <w:rsid w:val="00FF118B"/>
    <w:rsid w:val="00FF21A9"/>
    <w:rsid w:val="00FF25D8"/>
    <w:rsid w:val="00FF45F2"/>
    <w:rsid w:val="00FF72D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9F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B60"/>
    <w:rPr>
      <w:rFonts w:ascii="Garamond" w:hAnsi="Garamond"/>
    </w:rPr>
  </w:style>
  <w:style w:type="paragraph" w:styleId="Heading1">
    <w:name w:val="heading 1"/>
    <w:basedOn w:val="Normal"/>
    <w:next w:val="Normal"/>
    <w:link w:val="Heading1Char"/>
    <w:uiPriority w:val="9"/>
    <w:qFormat/>
    <w:rsid w:val="005147C6"/>
    <w:pPr>
      <w:spacing w:before="480" w:after="0"/>
      <w:contextualSpacing/>
      <w:outlineLvl w:val="0"/>
    </w:pPr>
    <w:rPr>
      <w:rFonts w:eastAsiaTheme="majorEastAsia" w:cstheme="majorBidi"/>
      <w:b/>
      <w:bCs/>
      <w:smallCaps/>
      <w:sz w:val="28"/>
      <w:szCs w:val="28"/>
    </w:rPr>
  </w:style>
  <w:style w:type="paragraph" w:styleId="Heading2">
    <w:name w:val="heading 2"/>
    <w:basedOn w:val="Normal"/>
    <w:next w:val="Normal"/>
    <w:link w:val="Heading2Char"/>
    <w:uiPriority w:val="9"/>
    <w:unhideWhenUsed/>
    <w:qFormat/>
    <w:rsid w:val="003E0B3E"/>
    <w:pPr>
      <w:spacing w:before="200" w:after="0"/>
      <w:outlineLvl w:val="1"/>
    </w:pPr>
    <w:rPr>
      <w:rFonts w:eastAsiaTheme="majorEastAsia" w:cstheme="majorBidi"/>
      <w:b/>
      <w:bCs/>
      <w:sz w:val="24"/>
      <w:szCs w:val="26"/>
    </w:rPr>
  </w:style>
  <w:style w:type="paragraph" w:styleId="Heading3">
    <w:name w:val="heading 3"/>
    <w:basedOn w:val="Normal"/>
    <w:next w:val="Normal"/>
    <w:link w:val="Heading3Char"/>
    <w:uiPriority w:val="9"/>
    <w:unhideWhenUsed/>
    <w:qFormat/>
    <w:rsid w:val="003E0B3E"/>
    <w:pPr>
      <w:spacing w:before="200" w:after="0" w:line="271" w:lineRule="auto"/>
      <w:outlineLvl w:val="2"/>
    </w:pPr>
    <w:rPr>
      <w:rFonts w:eastAsiaTheme="majorEastAsia" w:cstheme="majorBidi"/>
      <w:bCs/>
      <w:i/>
      <w:sz w:val="24"/>
    </w:rPr>
  </w:style>
  <w:style w:type="paragraph" w:styleId="Heading4">
    <w:name w:val="heading 4"/>
    <w:basedOn w:val="Normal"/>
    <w:next w:val="Normal"/>
    <w:link w:val="Heading4Char"/>
    <w:uiPriority w:val="9"/>
    <w:unhideWhenUsed/>
    <w:qFormat/>
    <w:rsid w:val="005607E2"/>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ED19D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D19D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D19D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D19D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D19D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07D2"/>
    <w:rPr>
      <w:rFonts w:ascii="Tahoma" w:hAnsi="Tahoma" w:cs="Tahoma"/>
      <w:sz w:val="16"/>
      <w:szCs w:val="16"/>
    </w:rPr>
  </w:style>
  <w:style w:type="paragraph" w:styleId="Header">
    <w:name w:val="header"/>
    <w:basedOn w:val="Normal"/>
    <w:link w:val="HeaderChar"/>
    <w:uiPriority w:val="99"/>
    <w:rsid w:val="00BC0F6D"/>
    <w:pPr>
      <w:tabs>
        <w:tab w:val="center" w:pos="4153"/>
        <w:tab w:val="right" w:pos="8306"/>
      </w:tabs>
    </w:pPr>
    <w:rPr>
      <w:rFonts w:ascii="Times New Roman" w:hAnsi="Times New Roman"/>
      <w:sz w:val="24"/>
      <w:lang w:eastAsia="en-US"/>
    </w:rPr>
  </w:style>
  <w:style w:type="paragraph" w:styleId="Footer">
    <w:name w:val="footer"/>
    <w:basedOn w:val="Normal"/>
    <w:link w:val="FooterChar"/>
    <w:uiPriority w:val="99"/>
    <w:rsid w:val="0066357B"/>
    <w:pPr>
      <w:tabs>
        <w:tab w:val="center" w:pos="4153"/>
        <w:tab w:val="right" w:pos="8306"/>
      </w:tabs>
    </w:pPr>
  </w:style>
  <w:style w:type="character" w:styleId="PageNumber">
    <w:name w:val="page number"/>
    <w:basedOn w:val="DefaultParagraphFont"/>
    <w:rsid w:val="0066357B"/>
  </w:style>
  <w:style w:type="table" w:styleId="TableGrid">
    <w:name w:val="Table Grid"/>
    <w:basedOn w:val="TableNormal"/>
    <w:rsid w:val="00C0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Heading">
    <w:name w:val="Clause Heading"/>
    <w:basedOn w:val="Heading1"/>
    <w:rsid w:val="00DB16B9"/>
    <w:rPr>
      <w:sz w:val="24"/>
      <w:lang w:val="en-US" w:eastAsia="en-US"/>
    </w:rPr>
  </w:style>
  <w:style w:type="paragraph" w:customStyle="1" w:styleId="Sub-Heading">
    <w:name w:val="Sub-Heading"/>
    <w:basedOn w:val="ClauseHeading"/>
    <w:rsid w:val="00DB16B9"/>
    <w:pPr>
      <w:ind w:left="798" w:hanging="741"/>
    </w:pPr>
  </w:style>
  <w:style w:type="character" w:styleId="Hyperlink">
    <w:name w:val="Hyperlink"/>
    <w:rsid w:val="00B85A91"/>
    <w:rPr>
      <w:color w:val="365F91" w:themeColor="accent1" w:themeShade="BF"/>
      <w:u w:val="single"/>
    </w:rPr>
  </w:style>
  <w:style w:type="paragraph" w:styleId="NormalWeb">
    <w:name w:val="Normal (Web)"/>
    <w:basedOn w:val="Normal"/>
    <w:uiPriority w:val="99"/>
    <w:rsid w:val="00747D25"/>
    <w:pPr>
      <w:spacing w:before="100" w:beforeAutospacing="1" w:after="100" w:afterAutospacing="1"/>
    </w:pPr>
    <w:rPr>
      <w:rFonts w:ascii="Times New Roman" w:hAnsi="Times New Roman"/>
      <w:sz w:val="24"/>
      <w:szCs w:val="24"/>
    </w:rPr>
  </w:style>
  <w:style w:type="character" w:styleId="Emphasis">
    <w:name w:val="Emphasis"/>
    <w:uiPriority w:val="20"/>
    <w:qFormat/>
    <w:rsid w:val="00ED19DC"/>
    <w:rPr>
      <w:b/>
      <w:bCs/>
      <w:i/>
      <w:iCs/>
      <w:spacing w:val="10"/>
      <w:bdr w:val="none" w:sz="0" w:space="0" w:color="auto"/>
      <w:shd w:val="clear" w:color="auto" w:fill="auto"/>
    </w:rPr>
  </w:style>
  <w:style w:type="paragraph" w:styleId="ListBullet">
    <w:name w:val="List Bullet"/>
    <w:basedOn w:val="Normal"/>
    <w:autoRedefine/>
    <w:rsid w:val="007978D7"/>
    <w:pPr>
      <w:numPr>
        <w:numId w:val="1"/>
      </w:numPr>
    </w:pPr>
  </w:style>
  <w:style w:type="character" w:styleId="CommentReference">
    <w:name w:val="annotation reference"/>
    <w:semiHidden/>
    <w:rsid w:val="009C63BA"/>
    <w:rPr>
      <w:sz w:val="16"/>
      <w:szCs w:val="16"/>
    </w:rPr>
  </w:style>
  <w:style w:type="paragraph" w:styleId="CommentText">
    <w:name w:val="annotation text"/>
    <w:basedOn w:val="Normal"/>
    <w:semiHidden/>
    <w:rsid w:val="009C63BA"/>
    <w:rPr>
      <w:sz w:val="20"/>
    </w:rPr>
  </w:style>
  <w:style w:type="paragraph" w:styleId="CommentSubject">
    <w:name w:val="annotation subject"/>
    <w:basedOn w:val="CommentText"/>
    <w:next w:val="CommentText"/>
    <w:semiHidden/>
    <w:rsid w:val="009C63BA"/>
    <w:rPr>
      <w:b/>
      <w:bCs/>
    </w:rPr>
  </w:style>
  <w:style w:type="paragraph" w:styleId="ListParagraph">
    <w:name w:val="List Paragraph"/>
    <w:basedOn w:val="Normal"/>
    <w:uiPriority w:val="34"/>
    <w:qFormat/>
    <w:rsid w:val="00ED19DC"/>
    <w:pPr>
      <w:ind w:left="720"/>
      <w:contextualSpacing/>
    </w:pPr>
  </w:style>
  <w:style w:type="paragraph" w:customStyle="1" w:styleId="12etc">
    <w:name w:val="1   2   etc"/>
    <w:basedOn w:val="Normal"/>
    <w:rsid w:val="00C738F3"/>
    <w:pPr>
      <w:tabs>
        <w:tab w:val="right" w:pos="9000"/>
      </w:tabs>
      <w:overflowPunct w:val="0"/>
      <w:autoSpaceDE w:val="0"/>
      <w:autoSpaceDN w:val="0"/>
      <w:adjustRightInd w:val="0"/>
      <w:ind w:left="1260" w:hanging="780"/>
    </w:pPr>
    <w:rPr>
      <w:rFonts w:ascii="Times" w:hAnsi="Times"/>
      <w:sz w:val="20"/>
    </w:rPr>
  </w:style>
  <w:style w:type="character" w:customStyle="1" w:styleId="FooterChar">
    <w:name w:val="Footer Char"/>
    <w:link w:val="Footer"/>
    <w:uiPriority w:val="99"/>
    <w:rsid w:val="00D96726"/>
    <w:rPr>
      <w:rFonts w:ascii="Arial" w:hAnsi="Arial"/>
      <w:sz w:val="22"/>
    </w:rPr>
  </w:style>
  <w:style w:type="paragraph" w:customStyle="1" w:styleId="CustomHEading2">
    <w:name w:val="Custom HEading 2"/>
    <w:basedOn w:val="Normal"/>
    <w:rsid w:val="00E20578"/>
    <w:pPr>
      <w:numPr>
        <w:ilvl w:val="1"/>
        <w:numId w:val="2"/>
      </w:numPr>
    </w:pPr>
  </w:style>
  <w:style w:type="character" w:styleId="FollowedHyperlink">
    <w:name w:val="FollowedHyperlink"/>
    <w:basedOn w:val="DefaultParagraphFont"/>
    <w:uiPriority w:val="99"/>
    <w:semiHidden/>
    <w:unhideWhenUsed/>
    <w:rsid w:val="00FC1BE8"/>
    <w:rPr>
      <w:color w:val="800080" w:themeColor="followedHyperlink"/>
      <w:u w:val="single"/>
    </w:rPr>
  </w:style>
  <w:style w:type="character" w:customStyle="1" w:styleId="Heading1Char">
    <w:name w:val="Heading 1 Char"/>
    <w:basedOn w:val="DefaultParagraphFont"/>
    <w:link w:val="Heading1"/>
    <w:uiPriority w:val="9"/>
    <w:rsid w:val="005147C6"/>
    <w:rPr>
      <w:rFonts w:ascii="Garamond" w:eastAsiaTheme="majorEastAsia" w:hAnsi="Garamond" w:cstheme="majorBidi"/>
      <w:b/>
      <w:bCs/>
      <w:smallCaps/>
      <w:sz w:val="28"/>
      <w:szCs w:val="28"/>
    </w:rPr>
  </w:style>
  <w:style w:type="character" w:customStyle="1" w:styleId="Heading2Char">
    <w:name w:val="Heading 2 Char"/>
    <w:basedOn w:val="DefaultParagraphFont"/>
    <w:link w:val="Heading2"/>
    <w:uiPriority w:val="9"/>
    <w:rsid w:val="003E0B3E"/>
    <w:rPr>
      <w:rFonts w:ascii="Garamond" w:eastAsiaTheme="majorEastAsia" w:hAnsi="Garamond" w:cstheme="majorBidi"/>
      <w:b/>
      <w:bCs/>
      <w:sz w:val="24"/>
      <w:szCs w:val="26"/>
    </w:rPr>
  </w:style>
  <w:style w:type="character" w:customStyle="1" w:styleId="Heading3Char">
    <w:name w:val="Heading 3 Char"/>
    <w:basedOn w:val="DefaultParagraphFont"/>
    <w:link w:val="Heading3"/>
    <w:uiPriority w:val="9"/>
    <w:rsid w:val="003E0B3E"/>
    <w:rPr>
      <w:rFonts w:ascii="Garamond" w:eastAsiaTheme="majorEastAsia" w:hAnsi="Garamond" w:cstheme="majorBidi"/>
      <w:bCs/>
      <w:i/>
      <w:sz w:val="24"/>
    </w:rPr>
  </w:style>
  <w:style w:type="character" w:customStyle="1" w:styleId="Heading4Char">
    <w:name w:val="Heading 4 Char"/>
    <w:basedOn w:val="DefaultParagraphFont"/>
    <w:link w:val="Heading4"/>
    <w:uiPriority w:val="9"/>
    <w:rsid w:val="005607E2"/>
    <w:rPr>
      <w:rFonts w:ascii="Garamond" w:eastAsiaTheme="majorEastAsia" w:hAnsi="Garamond" w:cstheme="majorBidi"/>
      <w:b/>
      <w:bCs/>
      <w:i/>
      <w:iCs/>
    </w:rPr>
  </w:style>
  <w:style w:type="character" w:customStyle="1" w:styleId="Heading5Char">
    <w:name w:val="Heading 5 Char"/>
    <w:basedOn w:val="DefaultParagraphFont"/>
    <w:link w:val="Heading5"/>
    <w:uiPriority w:val="9"/>
    <w:semiHidden/>
    <w:rsid w:val="00ED19D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D19D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D19D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D19D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D19DC"/>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72705B"/>
    <w:rPr>
      <w:b/>
      <w:bCs/>
      <w:caps/>
      <w:sz w:val="16"/>
      <w:szCs w:val="18"/>
    </w:rPr>
  </w:style>
  <w:style w:type="paragraph" w:styleId="Title">
    <w:name w:val="Title"/>
    <w:basedOn w:val="Normal"/>
    <w:next w:val="Normal"/>
    <w:link w:val="TitleChar"/>
    <w:uiPriority w:val="10"/>
    <w:qFormat/>
    <w:rsid w:val="00ED19D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D19D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D19D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D19DC"/>
    <w:rPr>
      <w:rFonts w:asciiTheme="majorHAnsi" w:eastAsiaTheme="majorEastAsia" w:hAnsiTheme="majorHAnsi" w:cstheme="majorBidi"/>
      <w:i/>
      <w:iCs/>
      <w:spacing w:val="13"/>
      <w:sz w:val="24"/>
      <w:szCs w:val="24"/>
    </w:rPr>
  </w:style>
  <w:style w:type="character" w:styleId="Strong">
    <w:name w:val="Strong"/>
    <w:uiPriority w:val="22"/>
    <w:qFormat/>
    <w:rsid w:val="00ED19DC"/>
    <w:rPr>
      <w:b/>
      <w:bCs/>
    </w:rPr>
  </w:style>
  <w:style w:type="paragraph" w:styleId="NoSpacing">
    <w:name w:val="No Spacing"/>
    <w:basedOn w:val="Normal"/>
    <w:link w:val="NoSpacingChar"/>
    <w:uiPriority w:val="1"/>
    <w:qFormat/>
    <w:rsid w:val="00ED19DC"/>
    <w:pPr>
      <w:spacing w:after="0" w:line="240" w:lineRule="auto"/>
    </w:pPr>
  </w:style>
  <w:style w:type="paragraph" w:styleId="Quote">
    <w:name w:val="Quote"/>
    <w:basedOn w:val="Normal"/>
    <w:next w:val="Normal"/>
    <w:link w:val="QuoteChar"/>
    <w:uiPriority w:val="29"/>
    <w:qFormat/>
    <w:rsid w:val="00ED19DC"/>
    <w:pPr>
      <w:spacing w:before="200" w:after="0"/>
      <w:ind w:left="360" w:right="360"/>
    </w:pPr>
    <w:rPr>
      <w:i/>
      <w:iCs/>
    </w:rPr>
  </w:style>
  <w:style w:type="character" w:customStyle="1" w:styleId="QuoteChar">
    <w:name w:val="Quote Char"/>
    <w:basedOn w:val="DefaultParagraphFont"/>
    <w:link w:val="Quote"/>
    <w:uiPriority w:val="29"/>
    <w:rsid w:val="00ED19DC"/>
    <w:rPr>
      <w:i/>
      <w:iCs/>
    </w:rPr>
  </w:style>
  <w:style w:type="paragraph" w:styleId="IntenseQuote">
    <w:name w:val="Intense Quote"/>
    <w:basedOn w:val="Normal"/>
    <w:next w:val="Normal"/>
    <w:link w:val="IntenseQuoteChar"/>
    <w:uiPriority w:val="30"/>
    <w:qFormat/>
    <w:rsid w:val="00ED19D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D19DC"/>
    <w:rPr>
      <w:b/>
      <w:bCs/>
      <w:i/>
      <w:iCs/>
    </w:rPr>
  </w:style>
  <w:style w:type="character" w:styleId="SubtleEmphasis">
    <w:name w:val="Subtle Emphasis"/>
    <w:uiPriority w:val="19"/>
    <w:qFormat/>
    <w:rsid w:val="00ED19DC"/>
    <w:rPr>
      <w:i/>
      <w:iCs/>
    </w:rPr>
  </w:style>
  <w:style w:type="character" w:styleId="IntenseEmphasis">
    <w:name w:val="Intense Emphasis"/>
    <w:uiPriority w:val="21"/>
    <w:qFormat/>
    <w:rsid w:val="00ED19DC"/>
    <w:rPr>
      <w:b/>
      <w:bCs/>
    </w:rPr>
  </w:style>
  <w:style w:type="character" w:styleId="SubtleReference">
    <w:name w:val="Subtle Reference"/>
    <w:uiPriority w:val="31"/>
    <w:qFormat/>
    <w:rsid w:val="00ED19DC"/>
    <w:rPr>
      <w:smallCaps/>
    </w:rPr>
  </w:style>
  <w:style w:type="character" w:styleId="IntenseReference">
    <w:name w:val="Intense Reference"/>
    <w:uiPriority w:val="32"/>
    <w:qFormat/>
    <w:rsid w:val="00ED19DC"/>
    <w:rPr>
      <w:smallCaps/>
      <w:spacing w:val="5"/>
      <w:u w:val="single"/>
    </w:rPr>
  </w:style>
  <w:style w:type="character" w:styleId="BookTitle">
    <w:name w:val="Book Title"/>
    <w:uiPriority w:val="33"/>
    <w:qFormat/>
    <w:rsid w:val="00ED19DC"/>
    <w:rPr>
      <w:i/>
      <w:iCs/>
      <w:smallCaps/>
      <w:spacing w:val="5"/>
    </w:rPr>
  </w:style>
  <w:style w:type="paragraph" w:styleId="TOCHeading">
    <w:name w:val="TOC Heading"/>
    <w:basedOn w:val="Heading1"/>
    <w:next w:val="Normal"/>
    <w:uiPriority w:val="39"/>
    <w:semiHidden/>
    <w:unhideWhenUsed/>
    <w:qFormat/>
    <w:rsid w:val="00ED19DC"/>
    <w:pPr>
      <w:outlineLvl w:val="9"/>
    </w:pPr>
    <w:rPr>
      <w:lang w:bidi="en-US"/>
    </w:rPr>
  </w:style>
  <w:style w:type="character" w:customStyle="1" w:styleId="NoSpacingChar">
    <w:name w:val="No Spacing Char"/>
    <w:basedOn w:val="DefaultParagraphFont"/>
    <w:link w:val="NoSpacing"/>
    <w:uiPriority w:val="1"/>
    <w:rsid w:val="0072705B"/>
  </w:style>
  <w:style w:type="paragraph" w:customStyle="1" w:styleId="StyleHeading2Bold">
    <w:name w:val="Style Heading 2 + Bold"/>
    <w:basedOn w:val="Heading2"/>
    <w:rsid w:val="008C268F"/>
    <w:rPr>
      <w:b w:val="0"/>
      <w:bCs w:val="0"/>
      <w:smallCaps/>
    </w:rPr>
  </w:style>
  <w:style w:type="paragraph" w:customStyle="1" w:styleId="StyleHeading3Bold">
    <w:name w:val="Style Heading 3 + Bold"/>
    <w:basedOn w:val="Heading3"/>
    <w:rsid w:val="008C268F"/>
    <w:rPr>
      <w:bCs w:val="0"/>
      <w:iCs/>
    </w:rPr>
  </w:style>
  <w:style w:type="paragraph" w:customStyle="1" w:styleId="StyleTitleNotBold">
    <w:name w:val="Style Title + Not Bold"/>
    <w:basedOn w:val="Title"/>
    <w:rsid w:val="002C18BA"/>
    <w:rPr>
      <w:sz w:val="40"/>
    </w:rPr>
  </w:style>
  <w:style w:type="paragraph" w:customStyle="1" w:styleId="StyleHeading3After12ptLinespacingsingle">
    <w:name w:val="Style Heading 3 + After:  12 pt Line spacing:  single"/>
    <w:basedOn w:val="Heading3"/>
    <w:rsid w:val="0095796A"/>
    <w:rPr>
      <w:rFonts w:eastAsia="Times New Roman" w:cs="Times New Roman"/>
      <w:iCs/>
      <w:szCs w:val="20"/>
    </w:rPr>
  </w:style>
  <w:style w:type="character" w:customStyle="1" w:styleId="HeaderChar">
    <w:name w:val="Header Char"/>
    <w:basedOn w:val="DefaultParagraphFont"/>
    <w:link w:val="Header"/>
    <w:uiPriority w:val="99"/>
    <w:rsid w:val="00E273B6"/>
    <w:rPr>
      <w:rFonts w:ascii="Times New Roman" w:hAnsi="Times New Roman"/>
      <w:sz w:val="24"/>
      <w:lang w:eastAsia="en-US"/>
    </w:rPr>
  </w:style>
  <w:style w:type="paragraph" w:customStyle="1" w:styleId="StyleHeading2Before0ptAfter12ptLinespacingsing">
    <w:name w:val="Style Heading 2 + Before:  0 pt After:  12 pt Line spacing:  sing..."/>
    <w:basedOn w:val="Heading2"/>
    <w:rsid w:val="00E273B6"/>
    <w:pPr>
      <w:spacing w:before="0" w:after="240" w:line="240" w:lineRule="auto"/>
    </w:pPr>
    <w:rPr>
      <w:rFonts w:eastAsia="Times New Roman" w:cs="Times New Roman"/>
      <w:bCs w:val="0"/>
      <w:smallCaps/>
      <w:szCs w:val="20"/>
    </w:rPr>
  </w:style>
  <w:style w:type="character" w:styleId="PlaceholderText">
    <w:name w:val="Placeholder Text"/>
    <w:basedOn w:val="DefaultParagraphFont"/>
    <w:uiPriority w:val="99"/>
    <w:semiHidden/>
    <w:rsid w:val="00E7502F"/>
    <w:rPr>
      <w:color w:val="808080"/>
    </w:rPr>
  </w:style>
  <w:style w:type="paragraph" w:customStyle="1" w:styleId="StyleHeading2Before0ptAfter6ptLinespacingsingle">
    <w:name w:val="Style Heading 2 + Before:  0 pt After:  6 pt Line spacing:  single"/>
    <w:basedOn w:val="Heading2"/>
    <w:rsid w:val="00C60F2C"/>
    <w:pPr>
      <w:spacing w:before="0" w:after="120" w:line="240" w:lineRule="auto"/>
    </w:pPr>
    <w:rPr>
      <w:rFonts w:eastAsia="Times New Roman" w:cs="Times New Roman"/>
      <w:bCs w:val="0"/>
      <w:smallCaps/>
      <w:szCs w:val="20"/>
    </w:rPr>
  </w:style>
  <w:style w:type="table" w:styleId="LightList-Accent2">
    <w:name w:val="Light List Accent 2"/>
    <w:basedOn w:val="TableNormal"/>
    <w:uiPriority w:val="61"/>
    <w:rsid w:val="0035241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1">
    <w:name w:val="Light List Accent 1"/>
    <w:basedOn w:val="TableNormal"/>
    <w:uiPriority w:val="61"/>
    <w:rsid w:val="002E63D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style11">
    <w:name w:val="style11"/>
    <w:basedOn w:val="DefaultParagraphFont"/>
    <w:rsid w:val="002A2C50"/>
    <w:rPr>
      <w:rFonts w:ascii="Trebuchet MS" w:hAnsi="Trebuchet MS" w:hint="default"/>
    </w:rPr>
  </w:style>
  <w:style w:type="table" w:styleId="LightList-Accent5">
    <w:name w:val="Light List Accent 5"/>
    <w:basedOn w:val="TableNormal"/>
    <w:uiPriority w:val="61"/>
    <w:rsid w:val="00823F1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
    <w:name w:val="Light List"/>
    <w:basedOn w:val="TableNormal"/>
    <w:uiPriority w:val="61"/>
    <w:rsid w:val="00823F1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fault">
    <w:name w:val="Default"/>
    <w:rsid w:val="000F12BE"/>
    <w:pPr>
      <w:autoSpaceDE w:val="0"/>
      <w:autoSpaceDN w:val="0"/>
      <w:adjustRightInd w:val="0"/>
      <w:spacing w:after="0" w:line="240" w:lineRule="auto"/>
    </w:pPr>
    <w:rPr>
      <w:rFonts w:ascii="Arial" w:hAnsi="Arial" w:cs="Arial"/>
      <w:color w:val="000000"/>
      <w:sz w:val="24"/>
      <w:szCs w:val="24"/>
    </w:rPr>
  </w:style>
  <w:style w:type="character" w:styleId="HTMLCite">
    <w:name w:val="HTML Cite"/>
    <w:basedOn w:val="DefaultParagraphFont"/>
    <w:uiPriority w:val="99"/>
    <w:semiHidden/>
    <w:unhideWhenUsed/>
    <w:rsid w:val="001F7A16"/>
    <w:rPr>
      <w:i/>
      <w:iCs/>
    </w:rPr>
  </w:style>
  <w:style w:type="paragraph" w:styleId="Revision">
    <w:name w:val="Revision"/>
    <w:hidden/>
    <w:uiPriority w:val="99"/>
    <w:semiHidden/>
    <w:rsid w:val="005223DC"/>
    <w:pPr>
      <w:spacing w:after="0" w:line="240" w:lineRule="auto"/>
    </w:pPr>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70726">
      <w:bodyDiv w:val="1"/>
      <w:marLeft w:val="0"/>
      <w:marRight w:val="0"/>
      <w:marTop w:val="0"/>
      <w:marBottom w:val="0"/>
      <w:divBdr>
        <w:top w:val="none" w:sz="0" w:space="0" w:color="auto"/>
        <w:left w:val="none" w:sz="0" w:space="0" w:color="auto"/>
        <w:bottom w:val="none" w:sz="0" w:space="0" w:color="auto"/>
        <w:right w:val="none" w:sz="0" w:space="0" w:color="auto"/>
      </w:divBdr>
    </w:div>
    <w:div w:id="300883967">
      <w:bodyDiv w:val="1"/>
      <w:marLeft w:val="0"/>
      <w:marRight w:val="0"/>
      <w:marTop w:val="0"/>
      <w:marBottom w:val="0"/>
      <w:divBdr>
        <w:top w:val="none" w:sz="0" w:space="0" w:color="auto"/>
        <w:left w:val="none" w:sz="0" w:space="0" w:color="auto"/>
        <w:bottom w:val="none" w:sz="0" w:space="0" w:color="auto"/>
        <w:right w:val="none" w:sz="0" w:space="0" w:color="auto"/>
      </w:divBdr>
    </w:div>
    <w:div w:id="687607551">
      <w:bodyDiv w:val="1"/>
      <w:marLeft w:val="0"/>
      <w:marRight w:val="0"/>
      <w:marTop w:val="0"/>
      <w:marBottom w:val="0"/>
      <w:divBdr>
        <w:top w:val="none" w:sz="0" w:space="0" w:color="auto"/>
        <w:left w:val="none" w:sz="0" w:space="0" w:color="auto"/>
        <w:bottom w:val="none" w:sz="0" w:space="0" w:color="auto"/>
        <w:right w:val="none" w:sz="0" w:space="0" w:color="auto"/>
      </w:divBdr>
      <w:divsChild>
        <w:div w:id="1195000005">
          <w:marLeft w:val="-5805"/>
          <w:marRight w:val="0"/>
          <w:marTop w:val="0"/>
          <w:marBottom w:val="0"/>
          <w:divBdr>
            <w:top w:val="single" w:sz="2" w:space="0" w:color="FFFFFF"/>
            <w:left w:val="single" w:sz="2" w:space="0" w:color="FFFFFF"/>
            <w:bottom w:val="single" w:sz="2" w:space="0" w:color="FFFFFF"/>
            <w:right w:val="single" w:sz="2" w:space="0" w:color="FFFFFF"/>
          </w:divBdr>
          <w:divsChild>
            <w:div w:id="651908097">
              <w:marLeft w:val="0"/>
              <w:marRight w:val="0"/>
              <w:marTop w:val="0"/>
              <w:marBottom w:val="0"/>
              <w:divBdr>
                <w:top w:val="none" w:sz="0" w:space="0" w:color="auto"/>
                <w:left w:val="none" w:sz="0" w:space="0" w:color="auto"/>
                <w:bottom w:val="none" w:sz="0" w:space="0" w:color="auto"/>
                <w:right w:val="none" w:sz="0" w:space="0" w:color="auto"/>
              </w:divBdr>
            </w:div>
            <w:div w:id="1310399304">
              <w:marLeft w:val="0"/>
              <w:marRight w:val="0"/>
              <w:marTop w:val="0"/>
              <w:marBottom w:val="0"/>
              <w:divBdr>
                <w:top w:val="none" w:sz="0" w:space="0" w:color="auto"/>
                <w:left w:val="none" w:sz="0" w:space="0" w:color="auto"/>
                <w:bottom w:val="none" w:sz="0" w:space="0" w:color="auto"/>
                <w:right w:val="none" w:sz="0" w:space="0" w:color="auto"/>
              </w:divBdr>
              <w:divsChild>
                <w:div w:id="537745409">
                  <w:marLeft w:val="0"/>
                  <w:marRight w:val="0"/>
                  <w:marTop w:val="0"/>
                  <w:marBottom w:val="0"/>
                  <w:divBdr>
                    <w:top w:val="none" w:sz="0" w:space="0" w:color="auto"/>
                    <w:left w:val="none" w:sz="0" w:space="0" w:color="auto"/>
                    <w:bottom w:val="none" w:sz="0" w:space="0" w:color="auto"/>
                    <w:right w:val="none" w:sz="0" w:space="0" w:color="auto"/>
                  </w:divBdr>
                </w:div>
                <w:div w:id="967511675">
                  <w:marLeft w:val="0"/>
                  <w:marRight w:val="0"/>
                  <w:marTop w:val="0"/>
                  <w:marBottom w:val="120"/>
                  <w:divBdr>
                    <w:top w:val="none" w:sz="0" w:space="0" w:color="auto"/>
                    <w:left w:val="none" w:sz="0" w:space="0" w:color="auto"/>
                    <w:bottom w:val="none" w:sz="0" w:space="0" w:color="auto"/>
                    <w:right w:val="none" w:sz="0" w:space="0" w:color="auto"/>
                  </w:divBdr>
                  <w:divsChild>
                    <w:div w:id="337078494">
                      <w:marLeft w:val="0"/>
                      <w:marRight w:val="0"/>
                      <w:marTop w:val="0"/>
                      <w:marBottom w:val="120"/>
                      <w:divBdr>
                        <w:top w:val="none" w:sz="0" w:space="0" w:color="auto"/>
                        <w:left w:val="none" w:sz="0" w:space="0" w:color="auto"/>
                        <w:bottom w:val="none" w:sz="0" w:space="0" w:color="auto"/>
                        <w:right w:val="none" w:sz="0" w:space="0" w:color="auto"/>
                      </w:divBdr>
                    </w:div>
                    <w:div w:id="402604008">
                      <w:marLeft w:val="0"/>
                      <w:marRight w:val="0"/>
                      <w:marTop w:val="0"/>
                      <w:marBottom w:val="120"/>
                      <w:divBdr>
                        <w:top w:val="none" w:sz="0" w:space="0" w:color="auto"/>
                        <w:left w:val="none" w:sz="0" w:space="0" w:color="auto"/>
                        <w:bottom w:val="none" w:sz="0" w:space="0" w:color="auto"/>
                        <w:right w:val="none" w:sz="0" w:space="0" w:color="auto"/>
                      </w:divBdr>
                    </w:div>
                    <w:div w:id="694422916">
                      <w:marLeft w:val="0"/>
                      <w:marRight w:val="0"/>
                      <w:marTop w:val="0"/>
                      <w:marBottom w:val="120"/>
                      <w:divBdr>
                        <w:top w:val="none" w:sz="0" w:space="0" w:color="auto"/>
                        <w:left w:val="none" w:sz="0" w:space="0" w:color="auto"/>
                        <w:bottom w:val="none" w:sz="0" w:space="0" w:color="auto"/>
                        <w:right w:val="none" w:sz="0" w:space="0" w:color="auto"/>
                      </w:divBdr>
                    </w:div>
                    <w:div w:id="763958440">
                      <w:marLeft w:val="0"/>
                      <w:marRight w:val="0"/>
                      <w:marTop w:val="0"/>
                      <w:marBottom w:val="120"/>
                      <w:divBdr>
                        <w:top w:val="none" w:sz="0" w:space="0" w:color="auto"/>
                        <w:left w:val="none" w:sz="0" w:space="0" w:color="auto"/>
                        <w:bottom w:val="none" w:sz="0" w:space="0" w:color="auto"/>
                        <w:right w:val="none" w:sz="0" w:space="0" w:color="auto"/>
                      </w:divBdr>
                    </w:div>
                    <w:div w:id="790125264">
                      <w:marLeft w:val="0"/>
                      <w:marRight w:val="0"/>
                      <w:marTop w:val="0"/>
                      <w:marBottom w:val="120"/>
                      <w:divBdr>
                        <w:top w:val="none" w:sz="0" w:space="0" w:color="auto"/>
                        <w:left w:val="none" w:sz="0" w:space="0" w:color="auto"/>
                        <w:bottom w:val="none" w:sz="0" w:space="0" w:color="auto"/>
                        <w:right w:val="none" w:sz="0" w:space="0" w:color="auto"/>
                      </w:divBdr>
                    </w:div>
                    <w:div w:id="919484127">
                      <w:marLeft w:val="0"/>
                      <w:marRight w:val="0"/>
                      <w:marTop w:val="0"/>
                      <w:marBottom w:val="120"/>
                      <w:divBdr>
                        <w:top w:val="none" w:sz="0" w:space="0" w:color="auto"/>
                        <w:left w:val="none" w:sz="0" w:space="0" w:color="auto"/>
                        <w:bottom w:val="none" w:sz="0" w:space="0" w:color="auto"/>
                        <w:right w:val="none" w:sz="0" w:space="0" w:color="auto"/>
                      </w:divBdr>
                    </w:div>
                    <w:div w:id="1354720511">
                      <w:marLeft w:val="0"/>
                      <w:marRight w:val="0"/>
                      <w:marTop w:val="0"/>
                      <w:marBottom w:val="120"/>
                      <w:divBdr>
                        <w:top w:val="none" w:sz="0" w:space="0" w:color="auto"/>
                        <w:left w:val="none" w:sz="0" w:space="0" w:color="auto"/>
                        <w:bottom w:val="none" w:sz="0" w:space="0" w:color="auto"/>
                        <w:right w:val="none" w:sz="0" w:space="0" w:color="auto"/>
                      </w:divBdr>
                    </w:div>
                    <w:div w:id="2032759684">
                      <w:marLeft w:val="0"/>
                      <w:marRight w:val="0"/>
                      <w:marTop w:val="0"/>
                      <w:marBottom w:val="120"/>
                      <w:divBdr>
                        <w:top w:val="none" w:sz="0" w:space="0" w:color="auto"/>
                        <w:left w:val="none" w:sz="0" w:space="0" w:color="auto"/>
                        <w:bottom w:val="none" w:sz="0" w:space="0" w:color="auto"/>
                        <w:right w:val="none" w:sz="0" w:space="0" w:color="auto"/>
                      </w:divBdr>
                    </w:div>
                    <w:div w:id="2049254994">
                      <w:marLeft w:val="0"/>
                      <w:marRight w:val="0"/>
                      <w:marTop w:val="0"/>
                      <w:marBottom w:val="120"/>
                      <w:divBdr>
                        <w:top w:val="none" w:sz="0" w:space="0" w:color="auto"/>
                        <w:left w:val="none" w:sz="0" w:space="0" w:color="auto"/>
                        <w:bottom w:val="none" w:sz="0" w:space="0" w:color="auto"/>
                        <w:right w:val="none" w:sz="0" w:space="0" w:color="auto"/>
                      </w:divBdr>
                    </w:div>
                    <w:div w:id="2098137086">
                      <w:marLeft w:val="0"/>
                      <w:marRight w:val="0"/>
                      <w:marTop w:val="0"/>
                      <w:marBottom w:val="120"/>
                      <w:divBdr>
                        <w:top w:val="none" w:sz="0" w:space="0" w:color="auto"/>
                        <w:left w:val="none" w:sz="0" w:space="0" w:color="auto"/>
                        <w:bottom w:val="none" w:sz="0" w:space="0" w:color="auto"/>
                        <w:right w:val="none" w:sz="0" w:space="0" w:color="auto"/>
                      </w:divBdr>
                    </w:div>
                  </w:divsChild>
                </w:div>
                <w:div w:id="983971449">
                  <w:marLeft w:val="0"/>
                  <w:marRight w:val="0"/>
                  <w:marTop w:val="0"/>
                  <w:marBottom w:val="0"/>
                  <w:divBdr>
                    <w:top w:val="none" w:sz="0" w:space="0" w:color="auto"/>
                    <w:left w:val="none" w:sz="0" w:space="0" w:color="auto"/>
                    <w:bottom w:val="none" w:sz="0" w:space="0" w:color="auto"/>
                    <w:right w:val="none" w:sz="0" w:space="0" w:color="auto"/>
                  </w:divBdr>
                </w:div>
                <w:div w:id="16705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1232">
          <w:marLeft w:val="-1500"/>
          <w:marRight w:val="0"/>
          <w:marTop w:val="0"/>
          <w:marBottom w:val="0"/>
          <w:divBdr>
            <w:top w:val="none" w:sz="0" w:space="0" w:color="auto"/>
            <w:left w:val="none" w:sz="0" w:space="0" w:color="auto"/>
            <w:bottom w:val="none" w:sz="0" w:space="0" w:color="auto"/>
            <w:right w:val="none" w:sz="0" w:space="0" w:color="auto"/>
          </w:divBdr>
        </w:div>
      </w:divsChild>
    </w:div>
    <w:div w:id="894318201">
      <w:bodyDiv w:val="1"/>
      <w:marLeft w:val="0"/>
      <w:marRight w:val="0"/>
      <w:marTop w:val="0"/>
      <w:marBottom w:val="0"/>
      <w:divBdr>
        <w:top w:val="none" w:sz="0" w:space="0" w:color="auto"/>
        <w:left w:val="none" w:sz="0" w:space="0" w:color="auto"/>
        <w:bottom w:val="none" w:sz="0" w:space="0" w:color="auto"/>
        <w:right w:val="none" w:sz="0" w:space="0" w:color="auto"/>
      </w:divBdr>
    </w:div>
    <w:div w:id="1310357268">
      <w:bodyDiv w:val="1"/>
      <w:marLeft w:val="0"/>
      <w:marRight w:val="0"/>
      <w:marTop w:val="0"/>
      <w:marBottom w:val="0"/>
      <w:divBdr>
        <w:top w:val="none" w:sz="0" w:space="0" w:color="auto"/>
        <w:left w:val="none" w:sz="0" w:space="0" w:color="auto"/>
        <w:bottom w:val="none" w:sz="0" w:space="0" w:color="auto"/>
        <w:right w:val="none" w:sz="0" w:space="0" w:color="auto"/>
      </w:divBdr>
      <w:divsChild>
        <w:div w:id="475412890">
          <w:marLeft w:val="0"/>
          <w:marRight w:val="0"/>
          <w:marTop w:val="0"/>
          <w:marBottom w:val="0"/>
          <w:divBdr>
            <w:top w:val="none" w:sz="0" w:space="0" w:color="auto"/>
            <w:left w:val="none" w:sz="0" w:space="0" w:color="auto"/>
            <w:bottom w:val="none" w:sz="0" w:space="0" w:color="auto"/>
            <w:right w:val="none" w:sz="0" w:space="0" w:color="auto"/>
          </w:divBdr>
        </w:div>
        <w:div w:id="1529489536">
          <w:marLeft w:val="0"/>
          <w:marRight w:val="0"/>
          <w:marTop w:val="0"/>
          <w:marBottom w:val="0"/>
          <w:divBdr>
            <w:top w:val="none" w:sz="0" w:space="0" w:color="auto"/>
            <w:left w:val="none" w:sz="0" w:space="0" w:color="auto"/>
            <w:bottom w:val="none" w:sz="0" w:space="0" w:color="auto"/>
            <w:right w:val="none" w:sz="0" w:space="0" w:color="auto"/>
          </w:divBdr>
        </w:div>
      </w:divsChild>
    </w:div>
    <w:div w:id="1718313118">
      <w:bodyDiv w:val="1"/>
      <w:marLeft w:val="0"/>
      <w:marRight w:val="0"/>
      <w:marTop w:val="0"/>
      <w:marBottom w:val="0"/>
      <w:divBdr>
        <w:top w:val="none" w:sz="0" w:space="0" w:color="auto"/>
        <w:left w:val="none" w:sz="0" w:space="0" w:color="auto"/>
        <w:bottom w:val="none" w:sz="0" w:space="0" w:color="auto"/>
        <w:right w:val="none" w:sz="0" w:space="0" w:color="auto"/>
      </w:divBdr>
    </w:div>
    <w:div w:id="20822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vlnsfileprint01\datawarehouse$\Higher%20Education\Academic%20Policies\Policies%20Approved%20by%20AB\Unit%20Credit%20Points%20Policy.pdf" TargetMode="External"/><Relationship Id="rId4" Type="http://schemas.openxmlformats.org/officeDocument/2006/relationships/styles" Target="styles.xml"/><Relationship Id="rId9" Type="http://schemas.openxmlformats.org/officeDocument/2006/relationships/hyperlink" Target="file:///\\vlnsfileprint01\datawarehouse$\Higher%20Education\Academic%20Policies\Policies%20Approved%20by%20AB\Course%20Unit%20Coding%20Policy.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2017-11-28T00:00:00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2C9ED0-EF11-4A2F-9710-753A03AF9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2019-05-17T00:51:00Z</dcterms:created>
  <dcterms:modified xsi:type="dcterms:W3CDTF">2019-08-20T01:05:00Z</dcterms:modified>
</cp:coreProperties>
</file>